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245C" w14:textId="67D69E1E" w:rsidR="00C66995" w:rsidRPr="006360E1" w:rsidRDefault="001D0989" w:rsidP="006360E1">
      <w:pPr>
        <w:ind w:left="-1276" w:firstLine="1276"/>
        <w:rPr>
          <w:sz w:val="16"/>
          <w:szCs w:val="16"/>
        </w:rPr>
      </w:pPr>
      <w:r>
        <w:rPr>
          <w:noProof/>
          <w:lang w:eastAsia="en-GB"/>
        </w:rPr>
        <w:drawing>
          <wp:anchor distT="0" distB="0" distL="114300" distR="114300" simplePos="0" relativeHeight="251657728" behindDoc="1" locked="0" layoutInCell="1" allowOverlap="1" wp14:anchorId="15BF1CE5" wp14:editId="4468A49A">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r w:rsidR="006360E1">
        <w:rPr>
          <w:sz w:val="16"/>
          <w:szCs w:val="16"/>
        </w:rPr>
        <w:t>Appendix B</w:t>
      </w:r>
      <w:bookmarkStart w:id="0" w:name="_GoBack"/>
      <w:bookmarkEnd w:id="0"/>
    </w:p>
    <w:p w14:paraId="719D8B7E" w14:textId="5DD43BB4" w:rsidR="006605B2" w:rsidRDefault="00085EA4" w:rsidP="00F21CA0">
      <w:pPr>
        <w:ind w:left="-1276" w:firstLine="1276"/>
        <w:jc w:val="center"/>
        <w:rPr>
          <w:sz w:val="72"/>
        </w:rPr>
      </w:pPr>
      <w:r>
        <w:rPr>
          <w:noProof/>
          <w:lang w:eastAsia="en-GB"/>
        </w:rPr>
        <mc:AlternateContent>
          <mc:Choice Requires="wps">
            <w:drawing>
              <wp:anchor distT="0" distB="0" distL="114300" distR="114300" simplePos="0" relativeHeight="251658752" behindDoc="0" locked="0" layoutInCell="1" allowOverlap="1" wp14:anchorId="2BEAE30F" wp14:editId="063EAA6D">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009BE" w14:textId="28D80074" w:rsidR="00F370A7" w:rsidRPr="002A3DBD" w:rsidRDefault="00A42D78" w:rsidP="00085EA4">
                            <w:pPr>
                              <w:rPr>
                                <w:color w:val="262626" w:themeColor="text1" w:themeTint="D9"/>
                                <w:sz w:val="46"/>
                                <w:szCs w:val="46"/>
                                <w:lang w:val="en-US"/>
                              </w:rPr>
                            </w:pPr>
                            <w:r>
                              <w:rPr>
                                <w:color w:val="262626" w:themeColor="text1" w:themeTint="D9"/>
                                <w:sz w:val="46"/>
                                <w:szCs w:val="46"/>
                                <w:lang w:val="en-US"/>
                              </w:rPr>
                              <w:t>Final</w:t>
                            </w:r>
                          </w:p>
                          <w:p w14:paraId="73729935" w14:textId="77777777" w:rsidR="00F370A7" w:rsidRPr="002A3DBD" w:rsidRDefault="00F370A7" w:rsidP="00085EA4">
                            <w:pPr>
                              <w:rPr>
                                <w:color w:val="262626" w:themeColor="text1" w:themeTint="D9"/>
                                <w:sz w:val="46"/>
                                <w:szCs w:val="46"/>
                                <w:lang w:val="en-US"/>
                              </w:rPr>
                            </w:pPr>
                            <w:r w:rsidRPr="002A3DBD">
                              <w:rPr>
                                <w:color w:val="262626" w:themeColor="text1" w:themeTint="D9"/>
                                <w:sz w:val="46"/>
                                <w:szCs w:val="46"/>
                                <w:lang w:val="en-US"/>
                              </w:rPr>
                              <w:t>Internal Audit Report</w:t>
                            </w:r>
                          </w:p>
                          <w:p w14:paraId="0E6C88A2" w14:textId="77777777" w:rsidR="00F370A7" w:rsidRPr="002A3DBD" w:rsidRDefault="00F370A7" w:rsidP="00085EA4">
                            <w:pPr>
                              <w:rPr>
                                <w:b/>
                                <w:color w:val="262626" w:themeColor="text1" w:themeTint="D9"/>
                                <w:sz w:val="46"/>
                                <w:szCs w:val="46"/>
                                <w:lang w:val="en-US"/>
                              </w:rPr>
                            </w:pPr>
                          </w:p>
                          <w:p w14:paraId="60937E91" w14:textId="7103DBF5" w:rsidR="00F370A7" w:rsidRPr="002A3DBD" w:rsidRDefault="0052157B" w:rsidP="00815A2D">
                            <w:pPr>
                              <w:spacing w:line="560" w:lineRule="exact"/>
                              <w:rPr>
                                <w:b/>
                                <w:color w:val="262626" w:themeColor="text1" w:themeTint="D9"/>
                                <w:sz w:val="56"/>
                                <w:szCs w:val="46"/>
                                <w:lang w:val="en-US"/>
                              </w:rPr>
                            </w:pPr>
                            <w:r>
                              <w:rPr>
                                <w:b/>
                                <w:color w:val="262626" w:themeColor="text1" w:themeTint="D9"/>
                                <w:sz w:val="56"/>
                                <w:szCs w:val="46"/>
                                <w:lang w:val="en-US"/>
                              </w:rPr>
                              <w:t>Health &amp; Wellbeing Leisure Campus</w:t>
                            </w:r>
                          </w:p>
                          <w:p w14:paraId="156B59EB" w14:textId="1E0B98B9" w:rsidR="00F370A7" w:rsidRPr="002A3DBD" w:rsidRDefault="00F370A7" w:rsidP="00085EA4">
                            <w:pPr>
                              <w:spacing w:line="560" w:lineRule="exact"/>
                              <w:rPr>
                                <w:color w:val="262626" w:themeColor="text1" w:themeTint="D9"/>
                                <w:sz w:val="46"/>
                                <w:szCs w:val="46"/>
                                <w:lang w:val="en-US"/>
                              </w:rPr>
                            </w:pPr>
                            <w:r w:rsidRPr="002A3DBD">
                              <w:rPr>
                                <w:color w:val="262626" w:themeColor="text1" w:themeTint="D9"/>
                                <w:sz w:val="46"/>
                                <w:szCs w:val="46"/>
                                <w:lang w:val="en-US"/>
                              </w:rPr>
                              <w:t>20</w:t>
                            </w:r>
                            <w:r w:rsidR="0052157B">
                              <w:rPr>
                                <w:color w:val="262626" w:themeColor="text1" w:themeTint="D9"/>
                                <w:sz w:val="46"/>
                                <w:szCs w:val="46"/>
                                <w:lang w:val="en-US"/>
                              </w:rPr>
                              <w:t>19</w:t>
                            </w:r>
                            <w:r w:rsidRPr="002A3DBD">
                              <w:rPr>
                                <w:color w:val="262626" w:themeColor="text1" w:themeTint="D9"/>
                                <w:sz w:val="46"/>
                                <w:szCs w:val="46"/>
                                <w:lang w:val="en-US"/>
                              </w:rPr>
                              <w:t>/20</w:t>
                            </w:r>
                            <w:r w:rsidR="0052157B">
                              <w:rPr>
                                <w:color w:val="262626" w:themeColor="text1" w:themeTint="D9"/>
                                <w:sz w:val="46"/>
                                <w:szCs w:val="46"/>
                                <w:lang w:val="en-US"/>
                              </w:rPr>
                              <w:t>20</w:t>
                            </w:r>
                          </w:p>
                          <w:p w14:paraId="52654CA9" w14:textId="77777777" w:rsidR="00F370A7" w:rsidRDefault="00F370A7" w:rsidP="00085EA4">
                            <w:pPr>
                              <w:rPr>
                                <w:color w:val="262626" w:themeColor="text1" w:themeTint="D9"/>
                                <w:sz w:val="40"/>
                                <w:szCs w:val="40"/>
                                <w:lang w:val="en-US"/>
                              </w:rPr>
                            </w:pPr>
                          </w:p>
                          <w:p w14:paraId="133AC364" w14:textId="77777777" w:rsidR="00F370A7" w:rsidRDefault="00F370A7" w:rsidP="00085EA4">
                            <w:pPr>
                              <w:rPr>
                                <w:color w:val="262626" w:themeColor="text1" w:themeTint="D9"/>
                                <w:sz w:val="40"/>
                                <w:szCs w:val="40"/>
                                <w:lang w:val="en-US"/>
                              </w:rPr>
                            </w:pPr>
                          </w:p>
                          <w:p w14:paraId="50669E8E" w14:textId="14F58046"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 Assurance: </w:t>
                            </w:r>
                            <w:r w:rsidR="0052157B">
                              <w:rPr>
                                <w:color w:val="262626" w:themeColor="text1" w:themeTint="D9"/>
                                <w:sz w:val="28"/>
                                <w:szCs w:val="28"/>
                                <w:lang w:val="en-US"/>
                              </w:rPr>
                              <w:t>Limited</w:t>
                            </w:r>
                          </w:p>
                          <w:p w14:paraId="0BDD9584" w14:textId="0C15A856"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Auditor: </w:t>
                            </w:r>
                            <w:r w:rsidR="0052157B">
                              <w:rPr>
                                <w:color w:val="262626" w:themeColor="text1" w:themeTint="D9"/>
                                <w:sz w:val="28"/>
                                <w:szCs w:val="28"/>
                                <w:lang w:val="en-US"/>
                              </w:rPr>
                              <w:t>Jacqui Murray</w:t>
                            </w:r>
                          </w:p>
                          <w:p w14:paraId="4EBD99F5" w14:textId="781F709F"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Issued: </w:t>
                            </w:r>
                            <w:r w:rsidR="00CF7A99">
                              <w:rPr>
                                <w:color w:val="262626" w:themeColor="text1" w:themeTint="D9"/>
                                <w:sz w:val="28"/>
                                <w:szCs w:val="28"/>
                                <w:lang w:val="en-US"/>
                              </w:rPr>
                              <w:t>28</w:t>
                            </w:r>
                            <w:r w:rsidR="00CF7A99">
                              <w:rPr>
                                <w:color w:val="262626" w:themeColor="text1" w:themeTint="D9"/>
                                <w:sz w:val="28"/>
                                <w:szCs w:val="28"/>
                                <w:vertAlign w:val="superscript"/>
                                <w:lang w:val="en-US"/>
                              </w:rPr>
                              <w:t>th</w:t>
                            </w:r>
                            <w:r w:rsidR="00F756B2">
                              <w:rPr>
                                <w:color w:val="262626" w:themeColor="text1" w:themeTint="D9"/>
                                <w:sz w:val="28"/>
                                <w:szCs w:val="28"/>
                                <w:lang w:val="en-US"/>
                              </w:rPr>
                              <w:t xml:space="preserve">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E30F" id="_x0000_t202" coordsize="21600,21600" o:spt="202" path="m,l,21600r21600,l21600,xe">
                <v:stroke joinstyle="miter"/>
                <v:path gradientshapeok="t" o:connecttype="rect"/>
              </v:shapetype>
              <v:shape id="Text Box 2" o:spid="_x0000_s1026" type="#_x0000_t202" style="position:absolute;left:0;text-align:left;margin-left:-14.65pt;margin-top:238.1pt;width:336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ueAIAAFoFAAAOAAAAZHJzL2Uyb0RvYy54bWysVMFu2zAMvQ/YPwi6r06ytGuDOEXWosOA&#10;oi2WDj0rspQYk0RNYmJnX19KdtKs26XDLjJNPlLkI6npZWsN26oQa3AlH54MOFNOQlW7Vcm/P958&#10;OOcsonCVMOBUyXcq8svZ+3fTxk/UCNZgKhUYBXFx0viSrxH9pCiiXCsr4gl45cioIViB9BtWRRVE&#10;Q9GtKUaDwVnRQKh8AKliJO11Z+SzHF9rJfFe66iQmZJTbpjPkM9lOovZVExWQfh1Lfs0xD9kYUXt&#10;6NJDqGuBgm1C/UcoW8sAETSeSLAFaF1LlWugaoaDV9Us1sKrXAuRE/2Bpvj/wsq77UNgdVXyEWdO&#10;WGrRo2qRfYaWjRI7jY8TAi08wbAlNXV5r4+kTEW3Otj0pXIY2Ynn3YHbFEyScjw6+0QN40yS7eP5&#10;6GJwmtkvXtx9iPhFgWVJKHmg5mVOxfY2IqVC0D0k3ebgpjYmN9C43xQE7DQqT0DvnSrpMs4S7oxK&#10;XsZ9U5oYyIknRZ49dWUC2wqaGiGlcphrznEJnVCa7n6LY49Prl1Wb3E+eOSbweHB2dYOQmbpVdrV&#10;j33KusMTf0d1JxHbZdt3eAnVjhocoFuQ6OVNTU24FREfRKCNoMbRluM9HdpAU3LoJc7WEH79TZ/w&#10;NKhk5ayhDSt5/LkRQXFmvjoa4YvheJxWMv+MT2k6OAvHluWxxW3sFVA7hvSeeJnFhEezF3UA+0SP&#10;wTzdSibhJN1dctyLV9jtPT0mUs3nGURL6AXeuoWXKXSiN43YY/skgu/nEGmE72C/i2Lyahw7bPJ0&#10;MN8g6DrPaiK4Y7UnnhY4j3D/2KQX4vg/o16exNkzAAAA//8DAFBLAwQUAAYACAAAACEADdXcDuAA&#10;AAAMAQAADwAAAGRycy9kb3ducmV2LnhtbEyPy07DMBBF90j8gzVI7FqbEBIS4lQIxBbU8pDYufE0&#10;iYjHUew24e8ZVrAc3aN7z1SbxQ3ihFPoPWm4WisQSI23PbUa3l6fVrcgQjRkzeAJNXxjgE19flaZ&#10;0vqZtnjaxVZwCYXSaOhiHEspQ9OhM2HtRyTODn5yJvI5tdJOZuZyN8hEqUw60xMvdGbEhw6br93R&#10;aXh/Pnx+pOqlfXQ34+wXJckVUuvLi+X+DkTEJf7B8KvP6lCz094fyQYxaFglxTWjGtI8S0AwkaVJ&#10;DmLPqMqLBGRdyf9P1D8AAAD//wMAUEsBAi0AFAAGAAgAAAAhALaDOJL+AAAA4QEAABMAAAAAAAAA&#10;AAAAAAAAAAAAAFtDb250ZW50X1R5cGVzXS54bWxQSwECLQAUAAYACAAAACEAOP0h/9YAAACUAQAA&#10;CwAAAAAAAAAAAAAAAAAvAQAAX3JlbHMvLnJlbHNQSwECLQAUAAYACAAAACEA1+QDrngCAABaBQAA&#10;DgAAAAAAAAAAAAAAAAAuAgAAZHJzL2Uyb0RvYy54bWxQSwECLQAUAAYACAAAACEADdXcDuAAAAAM&#10;AQAADwAAAAAAAAAAAAAAAADSBAAAZHJzL2Rvd25yZXYueG1sUEsFBgAAAAAEAAQA8wAAAN8FAAAA&#10;AA==&#10;" filled="f" stroked="f">
                <v:textbox>
                  <w:txbxContent>
                    <w:p w14:paraId="63B009BE" w14:textId="28D80074" w:rsidR="00F370A7" w:rsidRPr="002A3DBD" w:rsidRDefault="00A42D78" w:rsidP="00085EA4">
                      <w:pPr>
                        <w:rPr>
                          <w:color w:val="262626" w:themeColor="text1" w:themeTint="D9"/>
                          <w:sz w:val="46"/>
                          <w:szCs w:val="46"/>
                          <w:lang w:val="en-US"/>
                        </w:rPr>
                      </w:pPr>
                      <w:r>
                        <w:rPr>
                          <w:color w:val="262626" w:themeColor="text1" w:themeTint="D9"/>
                          <w:sz w:val="46"/>
                          <w:szCs w:val="46"/>
                          <w:lang w:val="en-US"/>
                        </w:rPr>
                        <w:t>Final</w:t>
                      </w:r>
                    </w:p>
                    <w:p w14:paraId="73729935" w14:textId="77777777" w:rsidR="00F370A7" w:rsidRPr="002A3DBD" w:rsidRDefault="00F370A7" w:rsidP="00085EA4">
                      <w:pPr>
                        <w:rPr>
                          <w:color w:val="262626" w:themeColor="text1" w:themeTint="D9"/>
                          <w:sz w:val="46"/>
                          <w:szCs w:val="46"/>
                          <w:lang w:val="en-US"/>
                        </w:rPr>
                      </w:pPr>
                      <w:r w:rsidRPr="002A3DBD">
                        <w:rPr>
                          <w:color w:val="262626" w:themeColor="text1" w:themeTint="D9"/>
                          <w:sz w:val="46"/>
                          <w:szCs w:val="46"/>
                          <w:lang w:val="en-US"/>
                        </w:rPr>
                        <w:t>Internal Audit Report</w:t>
                      </w:r>
                    </w:p>
                    <w:p w14:paraId="0E6C88A2" w14:textId="77777777" w:rsidR="00F370A7" w:rsidRPr="002A3DBD" w:rsidRDefault="00F370A7" w:rsidP="00085EA4">
                      <w:pPr>
                        <w:rPr>
                          <w:b/>
                          <w:color w:val="262626" w:themeColor="text1" w:themeTint="D9"/>
                          <w:sz w:val="46"/>
                          <w:szCs w:val="46"/>
                          <w:lang w:val="en-US"/>
                        </w:rPr>
                      </w:pPr>
                    </w:p>
                    <w:p w14:paraId="60937E91" w14:textId="7103DBF5" w:rsidR="00F370A7" w:rsidRPr="002A3DBD" w:rsidRDefault="0052157B" w:rsidP="00815A2D">
                      <w:pPr>
                        <w:spacing w:line="560" w:lineRule="exact"/>
                        <w:rPr>
                          <w:b/>
                          <w:color w:val="262626" w:themeColor="text1" w:themeTint="D9"/>
                          <w:sz w:val="56"/>
                          <w:szCs w:val="46"/>
                          <w:lang w:val="en-US"/>
                        </w:rPr>
                      </w:pPr>
                      <w:r>
                        <w:rPr>
                          <w:b/>
                          <w:color w:val="262626" w:themeColor="text1" w:themeTint="D9"/>
                          <w:sz w:val="56"/>
                          <w:szCs w:val="46"/>
                          <w:lang w:val="en-US"/>
                        </w:rPr>
                        <w:t>Health &amp; Wellbeing Leisure Campus</w:t>
                      </w:r>
                    </w:p>
                    <w:p w14:paraId="156B59EB" w14:textId="1E0B98B9" w:rsidR="00F370A7" w:rsidRPr="002A3DBD" w:rsidRDefault="00F370A7" w:rsidP="00085EA4">
                      <w:pPr>
                        <w:spacing w:line="560" w:lineRule="exact"/>
                        <w:rPr>
                          <w:color w:val="262626" w:themeColor="text1" w:themeTint="D9"/>
                          <w:sz w:val="46"/>
                          <w:szCs w:val="46"/>
                          <w:lang w:val="en-US"/>
                        </w:rPr>
                      </w:pPr>
                      <w:r w:rsidRPr="002A3DBD">
                        <w:rPr>
                          <w:color w:val="262626" w:themeColor="text1" w:themeTint="D9"/>
                          <w:sz w:val="46"/>
                          <w:szCs w:val="46"/>
                          <w:lang w:val="en-US"/>
                        </w:rPr>
                        <w:t>20</w:t>
                      </w:r>
                      <w:r w:rsidR="0052157B">
                        <w:rPr>
                          <w:color w:val="262626" w:themeColor="text1" w:themeTint="D9"/>
                          <w:sz w:val="46"/>
                          <w:szCs w:val="46"/>
                          <w:lang w:val="en-US"/>
                        </w:rPr>
                        <w:t>19</w:t>
                      </w:r>
                      <w:r w:rsidRPr="002A3DBD">
                        <w:rPr>
                          <w:color w:val="262626" w:themeColor="text1" w:themeTint="D9"/>
                          <w:sz w:val="46"/>
                          <w:szCs w:val="46"/>
                          <w:lang w:val="en-US"/>
                        </w:rPr>
                        <w:t>/20</w:t>
                      </w:r>
                      <w:r w:rsidR="0052157B">
                        <w:rPr>
                          <w:color w:val="262626" w:themeColor="text1" w:themeTint="D9"/>
                          <w:sz w:val="46"/>
                          <w:szCs w:val="46"/>
                          <w:lang w:val="en-US"/>
                        </w:rPr>
                        <w:t>20</w:t>
                      </w:r>
                    </w:p>
                    <w:p w14:paraId="52654CA9" w14:textId="77777777" w:rsidR="00F370A7" w:rsidRDefault="00F370A7" w:rsidP="00085EA4">
                      <w:pPr>
                        <w:rPr>
                          <w:color w:val="262626" w:themeColor="text1" w:themeTint="D9"/>
                          <w:sz w:val="40"/>
                          <w:szCs w:val="40"/>
                          <w:lang w:val="en-US"/>
                        </w:rPr>
                      </w:pPr>
                    </w:p>
                    <w:p w14:paraId="133AC364" w14:textId="77777777" w:rsidR="00F370A7" w:rsidRDefault="00F370A7" w:rsidP="00085EA4">
                      <w:pPr>
                        <w:rPr>
                          <w:color w:val="262626" w:themeColor="text1" w:themeTint="D9"/>
                          <w:sz w:val="40"/>
                          <w:szCs w:val="40"/>
                          <w:lang w:val="en-US"/>
                        </w:rPr>
                      </w:pPr>
                    </w:p>
                    <w:p w14:paraId="50669E8E" w14:textId="14F58046"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 Assurance: </w:t>
                      </w:r>
                      <w:r w:rsidR="0052157B">
                        <w:rPr>
                          <w:color w:val="262626" w:themeColor="text1" w:themeTint="D9"/>
                          <w:sz w:val="28"/>
                          <w:szCs w:val="28"/>
                          <w:lang w:val="en-US"/>
                        </w:rPr>
                        <w:t>Limited</w:t>
                      </w:r>
                    </w:p>
                    <w:p w14:paraId="0BDD9584" w14:textId="0C15A856"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Auditor: </w:t>
                      </w:r>
                      <w:r w:rsidR="0052157B">
                        <w:rPr>
                          <w:color w:val="262626" w:themeColor="text1" w:themeTint="D9"/>
                          <w:sz w:val="28"/>
                          <w:szCs w:val="28"/>
                          <w:lang w:val="en-US"/>
                        </w:rPr>
                        <w:t>Jacqui Murray</w:t>
                      </w:r>
                    </w:p>
                    <w:p w14:paraId="4EBD99F5" w14:textId="781F709F" w:rsidR="00F370A7" w:rsidRPr="002A3DBD" w:rsidRDefault="00F370A7"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Issued: </w:t>
                      </w:r>
                      <w:r w:rsidR="00CF7A99">
                        <w:rPr>
                          <w:color w:val="262626" w:themeColor="text1" w:themeTint="D9"/>
                          <w:sz w:val="28"/>
                          <w:szCs w:val="28"/>
                          <w:lang w:val="en-US"/>
                        </w:rPr>
                        <w:t>28</w:t>
                      </w:r>
                      <w:r w:rsidR="00CF7A99">
                        <w:rPr>
                          <w:color w:val="262626" w:themeColor="text1" w:themeTint="D9"/>
                          <w:sz w:val="28"/>
                          <w:szCs w:val="28"/>
                          <w:vertAlign w:val="superscript"/>
                          <w:lang w:val="en-US"/>
                        </w:rPr>
                        <w:t>th</w:t>
                      </w:r>
                      <w:r w:rsidR="00F756B2">
                        <w:rPr>
                          <w:color w:val="262626" w:themeColor="text1" w:themeTint="D9"/>
                          <w:sz w:val="28"/>
                          <w:szCs w:val="28"/>
                          <w:lang w:val="en-US"/>
                        </w:rPr>
                        <w:t xml:space="preserve"> July 2021</w:t>
                      </w:r>
                    </w:p>
                  </w:txbxContent>
                </v:textbox>
                <w10:wrap type="square"/>
              </v:shape>
            </w:pict>
          </mc:Fallback>
        </mc:AlternateContent>
      </w:r>
    </w:p>
    <w:p w14:paraId="799D56ED" w14:textId="77777777" w:rsidR="00EF277D" w:rsidRPr="008E60E3" w:rsidRDefault="00EF277D" w:rsidP="00C66995">
      <w:pPr>
        <w:ind w:left="-993" w:firstLine="993"/>
        <w:rPr>
          <w:rFonts w:cs="Arial"/>
          <w:b/>
        </w:rPr>
        <w:sectPr w:rsidR="00EF277D" w:rsidRPr="008E60E3" w:rsidSect="006605B2">
          <w:footerReference w:type="default" r:id="rId9"/>
          <w:pgSz w:w="11907" w:h="16839" w:code="9"/>
          <w:pgMar w:top="1440" w:right="850" w:bottom="1440" w:left="993" w:header="720" w:footer="720" w:gutter="0"/>
          <w:cols w:space="720"/>
          <w:titlePg/>
          <w:docGrid w:linePitch="326"/>
        </w:sectPr>
      </w:pPr>
    </w:p>
    <w:tbl>
      <w:tblPr>
        <w:tblStyle w:val="TableGrid"/>
        <w:tblW w:w="10661" w:type="dxa"/>
        <w:tblInd w:w="-1139" w:type="dxa"/>
        <w:tblLook w:val="04A0" w:firstRow="1" w:lastRow="0" w:firstColumn="1" w:lastColumn="0" w:noHBand="0" w:noVBand="1"/>
      </w:tblPr>
      <w:tblGrid>
        <w:gridCol w:w="339"/>
        <w:gridCol w:w="10322"/>
      </w:tblGrid>
      <w:tr w:rsidR="00C66995" w14:paraId="42DABACB" w14:textId="77777777" w:rsidTr="004778AF">
        <w:tc>
          <w:tcPr>
            <w:tcW w:w="339" w:type="dxa"/>
            <w:shd w:val="clear" w:color="auto" w:fill="3399FF"/>
          </w:tcPr>
          <w:p w14:paraId="045110B5" w14:textId="77CB1124" w:rsidR="00C66995" w:rsidRPr="00C66995" w:rsidRDefault="00C66995" w:rsidP="005A5D55">
            <w:pPr>
              <w:jc w:val="both"/>
              <w:rPr>
                <w:rFonts w:cs="Arial"/>
                <w:b/>
                <w:szCs w:val="24"/>
              </w:rPr>
            </w:pPr>
          </w:p>
        </w:tc>
        <w:tc>
          <w:tcPr>
            <w:tcW w:w="10322" w:type="dxa"/>
            <w:shd w:val="clear" w:color="auto" w:fill="3399FF"/>
          </w:tcPr>
          <w:p w14:paraId="0F2CC052" w14:textId="78342A8B" w:rsidR="00C66995" w:rsidRDefault="00C66995" w:rsidP="005A5D55">
            <w:pPr>
              <w:jc w:val="both"/>
              <w:rPr>
                <w:rFonts w:cs="Arial"/>
                <w:i/>
                <w:szCs w:val="24"/>
              </w:rPr>
            </w:pPr>
            <w:r w:rsidRPr="00C66995">
              <w:rPr>
                <w:rFonts w:cs="Arial"/>
                <w:b/>
                <w:szCs w:val="24"/>
              </w:rPr>
              <w:t>Reason for the Audit &amp; Scope</w:t>
            </w:r>
          </w:p>
        </w:tc>
      </w:tr>
      <w:tr w:rsidR="0059255B" w14:paraId="23F6B4E0" w14:textId="77777777" w:rsidTr="004778AF">
        <w:tc>
          <w:tcPr>
            <w:tcW w:w="339" w:type="dxa"/>
          </w:tcPr>
          <w:p w14:paraId="0FD04F0A" w14:textId="21B55713" w:rsidR="0059255B" w:rsidRPr="00B26938" w:rsidRDefault="0059255B" w:rsidP="0059255B">
            <w:pPr>
              <w:jc w:val="both"/>
              <w:rPr>
                <w:rFonts w:cs="Arial"/>
                <w:sz w:val="22"/>
                <w:szCs w:val="22"/>
              </w:rPr>
            </w:pPr>
            <w:r w:rsidRPr="00B26938">
              <w:rPr>
                <w:rFonts w:cs="Arial"/>
                <w:sz w:val="22"/>
                <w:szCs w:val="22"/>
              </w:rPr>
              <w:t>1</w:t>
            </w:r>
          </w:p>
        </w:tc>
        <w:tc>
          <w:tcPr>
            <w:tcW w:w="10322" w:type="dxa"/>
            <w:shd w:val="clear" w:color="auto" w:fill="auto"/>
          </w:tcPr>
          <w:p w14:paraId="7406C808" w14:textId="0D06182C" w:rsidR="003852F0" w:rsidRDefault="003B1894" w:rsidP="0059255B">
            <w:pPr>
              <w:rPr>
                <w:rFonts w:cs="Arial"/>
                <w:iCs/>
                <w:sz w:val="22"/>
                <w:szCs w:val="22"/>
              </w:rPr>
            </w:pPr>
            <w:r>
              <w:rPr>
                <w:rFonts w:cs="Arial"/>
                <w:iCs/>
                <w:sz w:val="22"/>
                <w:szCs w:val="22"/>
              </w:rPr>
              <w:t xml:space="preserve">A borough wide Health &amp; Wellbeing </w:t>
            </w:r>
            <w:r w:rsidR="003852F0">
              <w:rPr>
                <w:rFonts w:cs="Arial"/>
                <w:iCs/>
                <w:sz w:val="22"/>
                <w:szCs w:val="22"/>
              </w:rPr>
              <w:t xml:space="preserve">Leisure </w:t>
            </w:r>
            <w:r>
              <w:rPr>
                <w:rFonts w:cs="Arial"/>
                <w:iCs/>
                <w:sz w:val="22"/>
                <w:szCs w:val="22"/>
              </w:rPr>
              <w:t xml:space="preserve">Campus was proposed in July 2017, the proposal was formally endorsed by Cabinet and a capital budget of £15m was agreed and approved for the project in February 2018. </w:t>
            </w:r>
          </w:p>
          <w:p w14:paraId="3DDA1957" w14:textId="730AF1C6" w:rsidR="003852F0" w:rsidRDefault="003852F0" w:rsidP="0059255B">
            <w:pPr>
              <w:rPr>
                <w:rFonts w:cs="Arial"/>
                <w:iCs/>
                <w:sz w:val="22"/>
                <w:szCs w:val="22"/>
              </w:rPr>
            </w:pPr>
          </w:p>
          <w:p w14:paraId="05EA2A9A" w14:textId="145A7959" w:rsidR="003852F0" w:rsidRDefault="003852F0" w:rsidP="0059255B">
            <w:pPr>
              <w:rPr>
                <w:rFonts w:cs="Arial"/>
                <w:iCs/>
                <w:sz w:val="22"/>
                <w:szCs w:val="22"/>
              </w:rPr>
            </w:pPr>
            <w:r>
              <w:rPr>
                <w:rFonts w:cs="Arial"/>
                <w:iCs/>
                <w:sz w:val="22"/>
                <w:szCs w:val="22"/>
              </w:rPr>
              <w:t xml:space="preserve">Due to significance of the project to the achievement of the </w:t>
            </w:r>
            <w:r w:rsidR="00470B48">
              <w:rPr>
                <w:rFonts w:cs="Arial"/>
                <w:iCs/>
                <w:sz w:val="22"/>
                <w:szCs w:val="22"/>
              </w:rPr>
              <w:t>Council</w:t>
            </w:r>
            <w:r>
              <w:rPr>
                <w:rFonts w:cs="Arial"/>
                <w:iCs/>
                <w:sz w:val="22"/>
                <w:szCs w:val="22"/>
              </w:rPr>
              <w:t>’s Corporate Plan the Internal Audit Service undertook a review to provide assurance or otherwise in the following areas:</w:t>
            </w:r>
          </w:p>
          <w:p w14:paraId="36FC5B57" w14:textId="77777777" w:rsidR="00261E12" w:rsidRDefault="00261E12" w:rsidP="00261E12">
            <w:pPr>
              <w:pStyle w:val="Default"/>
              <w:rPr>
                <w:color w:val="auto"/>
              </w:rPr>
            </w:pPr>
          </w:p>
          <w:p w14:paraId="0A48DD2B" w14:textId="76A81360" w:rsidR="00261E12" w:rsidRPr="00261E12" w:rsidRDefault="00261E12" w:rsidP="00261E12">
            <w:pPr>
              <w:pStyle w:val="Default"/>
              <w:numPr>
                <w:ilvl w:val="0"/>
                <w:numId w:val="14"/>
              </w:numPr>
              <w:rPr>
                <w:sz w:val="22"/>
                <w:szCs w:val="22"/>
              </w:rPr>
            </w:pPr>
            <w:r w:rsidRPr="00261E12">
              <w:rPr>
                <w:sz w:val="22"/>
                <w:szCs w:val="22"/>
              </w:rPr>
              <w:t xml:space="preserve">Establish </w:t>
            </w:r>
            <w:r w:rsidR="00F756B2">
              <w:rPr>
                <w:sz w:val="22"/>
                <w:szCs w:val="22"/>
              </w:rPr>
              <w:t>p</w:t>
            </w:r>
            <w:r w:rsidRPr="00261E12">
              <w:rPr>
                <w:sz w:val="22"/>
                <w:szCs w:val="22"/>
              </w:rPr>
              <w:t xml:space="preserve">rocurement process and </w:t>
            </w:r>
            <w:r w:rsidR="00F756B2">
              <w:rPr>
                <w:sz w:val="22"/>
                <w:szCs w:val="22"/>
              </w:rPr>
              <w:t>the a</w:t>
            </w:r>
            <w:r w:rsidRPr="00261E12">
              <w:rPr>
                <w:sz w:val="22"/>
                <w:szCs w:val="22"/>
              </w:rPr>
              <w:t>ppointment of F</w:t>
            </w:r>
            <w:r w:rsidR="00F756B2">
              <w:rPr>
                <w:sz w:val="22"/>
                <w:szCs w:val="22"/>
              </w:rPr>
              <w:t xml:space="preserve">aithful and Gould </w:t>
            </w:r>
            <w:r w:rsidRPr="00261E12">
              <w:rPr>
                <w:sz w:val="22"/>
                <w:szCs w:val="22"/>
              </w:rPr>
              <w:t xml:space="preserve">complies with Contract Procedure Rules; </w:t>
            </w:r>
          </w:p>
          <w:p w14:paraId="285975D1" w14:textId="0ED76F8D" w:rsidR="00261E12" w:rsidRPr="00261E12" w:rsidRDefault="00261E12" w:rsidP="00261E12">
            <w:pPr>
              <w:pStyle w:val="Default"/>
              <w:numPr>
                <w:ilvl w:val="0"/>
                <w:numId w:val="14"/>
              </w:numPr>
              <w:rPr>
                <w:sz w:val="22"/>
                <w:szCs w:val="22"/>
              </w:rPr>
            </w:pPr>
            <w:r w:rsidRPr="00261E12">
              <w:rPr>
                <w:sz w:val="22"/>
                <w:szCs w:val="22"/>
              </w:rPr>
              <w:t xml:space="preserve">Determine if effective </w:t>
            </w:r>
            <w:r w:rsidR="00F756B2">
              <w:rPr>
                <w:sz w:val="22"/>
                <w:szCs w:val="22"/>
              </w:rPr>
              <w:t>g</w:t>
            </w:r>
            <w:r w:rsidRPr="00261E12">
              <w:rPr>
                <w:sz w:val="22"/>
                <w:szCs w:val="22"/>
              </w:rPr>
              <w:t xml:space="preserve">overnance arrangements were in place in respect of the </w:t>
            </w:r>
            <w:r w:rsidR="00F756B2">
              <w:rPr>
                <w:sz w:val="22"/>
                <w:szCs w:val="22"/>
              </w:rPr>
              <w:t>p</w:t>
            </w:r>
            <w:r w:rsidRPr="00261E12">
              <w:rPr>
                <w:sz w:val="22"/>
                <w:szCs w:val="22"/>
              </w:rPr>
              <w:t xml:space="preserve">roject; and </w:t>
            </w:r>
          </w:p>
          <w:p w14:paraId="0B099970" w14:textId="1C918673" w:rsidR="00261E12" w:rsidRPr="00261E12" w:rsidRDefault="00261E12" w:rsidP="00261E12">
            <w:pPr>
              <w:pStyle w:val="Default"/>
              <w:numPr>
                <w:ilvl w:val="0"/>
                <w:numId w:val="3"/>
              </w:numPr>
              <w:rPr>
                <w:sz w:val="22"/>
                <w:szCs w:val="22"/>
              </w:rPr>
            </w:pPr>
            <w:r w:rsidRPr="00261E12">
              <w:rPr>
                <w:sz w:val="22"/>
                <w:szCs w:val="22"/>
              </w:rPr>
              <w:t xml:space="preserve">Ensure </w:t>
            </w:r>
            <w:r w:rsidR="00F756B2">
              <w:rPr>
                <w:sz w:val="22"/>
                <w:szCs w:val="22"/>
              </w:rPr>
              <w:t>p</w:t>
            </w:r>
            <w:r w:rsidRPr="00261E12">
              <w:rPr>
                <w:sz w:val="22"/>
                <w:szCs w:val="22"/>
              </w:rPr>
              <w:t xml:space="preserve">rocedures in respect of </w:t>
            </w:r>
            <w:r w:rsidR="00F756B2">
              <w:rPr>
                <w:sz w:val="22"/>
                <w:szCs w:val="22"/>
              </w:rPr>
              <w:t>k</w:t>
            </w:r>
            <w:r w:rsidRPr="00261E12">
              <w:rPr>
                <w:sz w:val="22"/>
                <w:szCs w:val="22"/>
              </w:rPr>
              <w:t xml:space="preserve">ey </w:t>
            </w:r>
            <w:r w:rsidR="00F756B2">
              <w:rPr>
                <w:sz w:val="22"/>
                <w:szCs w:val="22"/>
              </w:rPr>
              <w:t>d</w:t>
            </w:r>
            <w:r w:rsidRPr="00261E12">
              <w:rPr>
                <w:sz w:val="22"/>
                <w:szCs w:val="22"/>
              </w:rPr>
              <w:t>ecisions have been adhered to</w:t>
            </w:r>
            <w:r w:rsidR="00F756B2">
              <w:rPr>
                <w:sz w:val="22"/>
                <w:szCs w:val="22"/>
              </w:rPr>
              <w:t>.</w:t>
            </w:r>
            <w:r w:rsidRPr="00261E12">
              <w:rPr>
                <w:sz w:val="22"/>
                <w:szCs w:val="22"/>
              </w:rPr>
              <w:t xml:space="preserve"> </w:t>
            </w:r>
          </w:p>
          <w:p w14:paraId="1A093438" w14:textId="77777777" w:rsidR="00261E12" w:rsidRDefault="00261E12" w:rsidP="00261E12">
            <w:pPr>
              <w:pStyle w:val="Default"/>
              <w:ind w:left="720"/>
              <w:rPr>
                <w:sz w:val="20"/>
                <w:szCs w:val="20"/>
              </w:rPr>
            </w:pPr>
          </w:p>
          <w:p w14:paraId="16AE7833" w14:textId="3F35172B" w:rsidR="0059255B" w:rsidRDefault="00F40071" w:rsidP="0059255B">
            <w:pPr>
              <w:rPr>
                <w:rFonts w:cs="Arial"/>
                <w:iCs/>
                <w:sz w:val="22"/>
                <w:szCs w:val="22"/>
              </w:rPr>
            </w:pPr>
            <w:r>
              <w:rPr>
                <w:rFonts w:cs="Arial"/>
                <w:iCs/>
                <w:sz w:val="22"/>
                <w:szCs w:val="22"/>
              </w:rPr>
              <w:t xml:space="preserve">The </w:t>
            </w:r>
            <w:r w:rsidR="00F746EC">
              <w:rPr>
                <w:rFonts w:cs="Arial"/>
                <w:iCs/>
                <w:sz w:val="22"/>
                <w:szCs w:val="22"/>
              </w:rPr>
              <w:t xml:space="preserve">draft </w:t>
            </w:r>
            <w:r>
              <w:rPr>
                <w:rFonts w:cs="Arial"/>
                <w:iCs/>
                <w:sz w:val="22"/>
                <w:szCs w:val="22"/>
              </w:rPr>
              <w:t xml:space="preserve">outcomes of </w:t>
            </w:r>
            <w:r w:rsidR="00F746EC">
              <w:rPr>
                <w:rFonts w:cs="Arial"/>
                <w:iCs/>
                <w:sz w:val="22"/>
                <w:szCs w:val="22"/>
              </w:rPr>
              <w:t xml:space="preserve">an initial review </w:t>
            </w:r>
            <w:r>
              <w:rPr>
                <w:rFonts w:cs="Arial"/>
                <w:iCs/>
                <w:sz w:val="22"/>
                <w:szCs w:val="22"/>
              </w:rPr>
              <w:t xml:space="preserve">were provided to the Governance Committee on </w:t>
            </w:r>
            <w:r w:rsidR="003B1894">
              <w:rPr>
                <w:rFonts w:cs="Arial"/>
                <w:iCs/>
                <w:sz w:val="22"/>
                <w:szCs w:val="22"/>
              </w:rPr>
              <w:t>16</w:t>
            </w:r>
            <w:r w:rsidR="003B1894" w:rsidRPr="003B1894">
              <w:rPr>
                <w:rFonts w:cs="Arial"/>
                <w:iCs/>
                <w:sz w:val="22"/>
                <w:szCs w:val="22"/>
                <w:vertAlign w:val="superscript"/>
              </w:rPr>
              <w:t>th</w:t>
            </w:r>
            <w:r w:rsidR="003B1894">
              <w:rPr>
                <w:rFonts w:cs="Arial"/>
                <w:iCs/>
                <w:sz w:val="22"/>
                <w:szCs w:val="22"/>
              </w:rPr>
              <w:t xml:space="preserve"> June </w:t>
            </w:r>
            <w:r w:rsidR="000A3065">
              <w:rPr>
                <w:rFonts w:cs="Arial"/>
                <w:iCs/>
                <w:sz w:val="22"/>
                <w:szCs w:val="22"/>
              </w:rPr>
              <w:t xml:space="preserve">2020; however, the review was not </w:t>
            </w:r>
            <w:r w:rsidR="00F746EC">
              <w:rPr>
                <w:rFonts w:cs="Arial"/>
                <w:iCs/>
                <w:sz w:val="22"/>
                <w:szCs w:val="22"/>
              </w:rPr>
              <w:t>finalised at this time</w:t>
            </w:r>
            <w:r w:rsidR="000A3065">
              <w:rPr>
                <w:rFonts w:cs="Arial"/>
                <w:iCs/>
                <w:sz w:val="22"/>
                <w:szCs w:val="22"/>
              </w:rPr>
              <w:t>.</w:t>
            </w:r>
            <w:r w:rsidR="00F746EC">
              <w:rPr>
                <w:rFonts w:cs="Arial"/>
                <w:iCs/>
                <w:sz w:val="22"/>
                <w:szCs w:val="22"/>
              </w:rPr>
              <w:t xml:space="preserve"> Internal Audit have been requested to revisit the </w:t>
            </w:r>
            <w:r w:rsidR="000A3065">
              <w:rPr>
                <w:rFonts w:cs="Arial"/>
                <w:iCs/>
                <w:sz w:val="22"/>
                <w:szCs w:val="22"/>
              </w:rPr>
              <w:t xml:space="preserve">audit </w:t>
            </w:r>
            <w:r w:rsidR="00B737B7">
              <w:rPr>
                <w:rFonts w:cs="Arial"/>
                <w:iCs/>
                <w:sz w:val="22"/>
                <w:szCs w:val="22"/>
              </w:rPr>
              <w:t>to provide concluding outcomes.</w:t>
            </w:r>
          </w:p>
          <w:p w14:paraId="69A30644" w14:textId="77777777" w:rsidR="007D6794" w:rsidRPr="007D6794" w:rsidRDefault="007D6794" w:rsidP="0059255B">
            <w:pPr>
              <w:rPr>
                <w:rFonts w:cs="Arial"/>
                <w:iCs/>
                <w:sz w:val="22"/>
                <w:szCs w:val="22"/>
              </w:rPr>
            </w:pPr>
          </w:p>
          <w:p w14:paraId="3C68E2FE" w14:textId="77777777" w:rsidR="0059255B" w:rsidRDefault="00755803" w:rsidP="003B1894">
            <w:pPr>
              <w:rPr>
                <w:rFonts w:cs="Arial"/>
                <w:iCs/>
                <w:sz w:val="22"/>
                <w:szCs w:val="22"/>
              </w:rPr>
            </w:pPr>
            <w:r>
              <w:rPr>
                <w:rFonts w:cs="Arial"/>
                <w:iCs/>
                <w:sz w:val="22"/>
                <w:szCs w:val="22"/>
              </w:rPr>
              <w:t>The review and assessment of the Health &amp; Wellbeing Leisure Campus draft report</w:t>
            </w:r>
            <w:r w:rsidR="003B1894">
              <w:rPr>
                <w:rFonts w:cs="Arial"/>
                <w:iCs/>
                <w:sz w:val="22"/>
                <w:szCs w:val="22"/>
              </w:rPr>
              <w:t xml:space="preserve"> is included in the 2021/22 Annual Audit Plan approved by the Governance Committee on 23</w:t>
            </w:r>
            <w:r w:rsidR="003B1894" w:rsidRPr="003B1894">
              <w:rPr>
                <w:rFonts w:cs="Arial"/>
                <w:iCs/>
                <w:sz w:val="22"/>
                <w:szCs w:val="22"/>
                <w:vertAlign w:val="superscript"/>
              </w:rPr>
              <w:t>rd</w:t>
            </w:r>
            <w:r w:rsidR="003B1894">
              <w:rPr>
                <w:rFonts w:cs="Arial"/>
                <w:iCs/>
                <w:sz w:val="22"/>
                <w:szCs w:val="22"/>
              </w:rPr>
              <w:t xml:space="preserve"> March 2021.</w:t>
            </w:r>
          </w:p>
          <w:p w14:paraId="5C3CCFA4" w14:textId="76693025" w:rsidR="00755803" w:rsidRPr="003B1894" w:rsidRDefault="00755803" w:rsidP="003B1894">
            <w:pPr>
              <w:rPr>
                <w:rFonts w:cs="Arial"/>
                <w:iCs/>
                <w:sz w:val="22"/>
                <w:szCs w:val="22"/>
              </w:rPr>
            </w:pPr>
          </w:p>
        </w:tc>
      </w:tr>
      <w:tr w:rsidR="0059255B" w14:paraId="06D36C0A" w14:textId="77777777" w:rsidTr="00D872F7">
        <w:tc>
          <w:tcPr>
            <w:tcW w:w="339" w:type="dxa"/>
          </w:tcPr>
          <w:p w14:paraId="2F92DE85" w14:textId="5C9FBF2D" w:rsidR="0059255B" w:rsidRPr="00B26938" w:rsidRDefault="0059255B" w:rsidP="0059255B">
            <w:pPr>
              <w:jc w:val="both"/>
              <w:rPr>
                <w:rFonts w:cs="Arial"/>
                <w:sz w:val="22"/>
                <w:szCs w:val="22"/>
              </w:rPr>
            </w:pPr>
            <w:r w:rsidRPr="00B26938">
              <w:rPr>
                <w:rFonts w:cs="Arial"/>
                <w:sz w:val="22"/>
                <w:szCs w:val="22"/>
              </w:rPr>
              <w:t>2</w:t>
            </w:r>
          </w:p>
        </w:tc>
        <w:tc>
          <w:tcPr>
            <w:tcW w:w="10322" w:type="dxa"/>
          </w:tcPr>
          <w:p w14:paraId="6FFEDE00" w14:textId="787C904A" w:rsidR="0059255B" w:rsidRDefault="00A95149" w:rsidP="0059255B">
            <w:pPr>
              <w:rPr>
                <w:rFonts w:cs="Arial"/>
                <w:iCs/>
                <w:sz w:val="22"/>
                <w:szCs w:val="22"/>
              </w:rPr>
            </w:pPr>
            <w:r>
              <w:rPr>
                <w:rFonts w:cs="Arial"/>
                <w:iCs/>
                <w:sz w:val="22"/>
                <w:szCs w:val="22"/>
              </w:rPr>
              <w:t>The r</w:t>
            </w:r>
            <w:r w:rsidR="00AB246F">
              <w:rPr>
                <w:rFonts w:cs="Arial"/>
                <w:iCs/>
                <w:sz w:val="22"/>
                <w:szCs w:val="22"/>
              </w:rPr>
              <w:t>eport</w:t>
            </w:r>
            <w:r>
              <w:rPr>
                <w:rFonts w:cs="Arial"/>
                <w:iCs/>
                <w:sz w:val="22"/>
                <w:szCs w:val="22"/>
              </w:rPr>
              <w:t xml:space="preserve"> is </w:t>
            </w:r>
            <w:r w:rsidR="00AB246F">
              <w:rPr>
                <w:rFonts w:cs="Arial"/>
                <w:iCs/>
                <w:sz w:val="22"/>
                <w:szCs w:val="22"/>
              </w:rPr>
              <w:t xml:space="preserve">based on </w:t>
            </w:r>
            <w:r>
              <w:rPr>
                <w:rFonts w:cs="Arial"/>
                <w:iCs/>
                <w:sz w:val="22"/>
                <w:szCs w:val="22"/>
              </w:rPr>
              <w:t xml:space="preserve">an assessment of the </w:t>
            </w:r>
            <w:r w:rsidR="00AB246F">
              <w:rPr>
                <w:rFonts w:cs="Arial"/>
                <w:iCs/>
                <w:sz w:val="22"/>
                <w:szCs w:val="22"/>
              </w:rPr>
              <w:t xml:space="preserve">electronic and paper files compiled during </w:t>
            </w:r>
            <w:r w:rsidR="003B1894">
              <w:rPr>
                <w:rFonts w:cs="Arial"/>
                <w:iCs/>
                <w:sz w:val="22"/>
                <w:szCs w:val="22"/>
              </w:rPr>
              <w:t>the in</w:t>
            </w:r>
            <w:r w:rsidR="00AB246F">
              <w:rPr>
                <w:rFonts w:cs="Arial"/>
                <w:iCs/>
                <w:sz w:val="22"/>
                <w:szCs w:val="22"/>
              </w:rPr>
              <w:t xml:space="preserve">itial review of the Health &amp; Wellbeing Leisure Campus in 2019/2020 </w:t>
            </w:r>
            <w:r w:rsidR="00347E9B">
              <w:rPr>
                <w:rFonts w:cs="Arial"/>
                <w:iCs/>
                <w:sz w:val="22"/>
                <w:szCs w:val="22"/>
              </w:rPr>
              <w:t>in support of the</w:t>
            </w:r>
            <w:r w:rsidR="00AB246F">
              <w:rPr>
                <w:rFonts w:cs="Arial"/>
                <w:iCs/>
                <w:sz w:val="22"/>
                <w:szCs w:val="22"/>
              </w:rPr>
              <w:t xml:space="preserve"> draft report presented to Governance Committee on </w:t>
            </w:r>
            <w:r w:rsidR="003B1894">
              <w:rPr>
                <w:rFonts w:cs="Arial"/>
                <w:iCs/>
                <w:sz w:val="22"/>
                <w:szCs w:val="22"/>
              </w:rPr>
              <w:t>16</w:t>
            </w:r>
            <w:r w:rsidR="003B1894" w:rsidRPr="003B1894">
              <w:rPr>
                <w:rFonts w:cs="Arial"/>
                <w:iCs/>
                <w:sz w:val="22"/>
                <w:szCs w:val="22"/>
                <w:vertAlign w:val="superscript"/>
              </w:rPr>
              <w:t>th</w:t>
            </w:r>
            <w:r w:rsidR="003B1894">
              <w:rPr>
                <w:rFonts w:cs="Arial"/>
                <w:iCs/>
                <w:sz w:val="22"/>
                <w:szCs w:val="22"/>
              </w:rPr>
              <w:t xml:space="preserve"> </w:t>
            </w:r>
            <w:r w:rsidR="00AB246F">
              <w:rPr>
                <w:rFonts w:cs="Arial"/>
                <w:iCs/>
                <w:sz w:val="22"/>
                <w:szCs w:val="22"/>
              </w:rPr>
              <w:t>June 2020.</w:t>
            </w:r>
          </w:p>
          <w:p w14:paraId="1603FF55" w14:textId="4E22EAA3" w:rsidR="00AB246F" w:rsidRDefault="00AB246F" w:rsidP="0059255B">
            <w:pPr>
              <w:rPr>
                <w:rFonts w:cs="Arial"/>
                <w:iCs/>
                <w:sz w:val="22"/>
                <w:szCs w:val="22"/>
              </w:rPr>
            </w:pPr>
          </w:p>
          <w:p w14:paraId="2C904F0D" w14:textId="354FB9F0" w:rsidR="00AB246F" w:rsidRDefault="00AB246F" w:rsidP="0059255B">
            <w:pPr>
              <w:rPr>
                <w:rFonts w:cs="Arial"/>
                <w:iCs/>
                <w:sz w:val="22"/>
                <w:szCs w:val="22"/>
              </w:rPr>
            </w:pPr>
            <w:r>
              <w:rPr>
                <w:rFonts w:cs="Arial"/>
                <w:iCs/>
                <w:sz w:val="22"/>
                <w:szCs w:val="22"/>
              </w:rPr>
              <w:t>No additional information has been sought or included for review, and no officers</w:t>
            </w:r>
            <w:r w:rsidR="00F756B2">
              <w:rPr>
                <w:rFonts w:cs="Arial"/>
                <w:iCs/>
                <w:sz w:val="22"/>
                <w:szCs w:val="22"/>
              </w:rPr>
              <w:t xml:space="preserve"> or members</w:t>
            </w:r>
            <w:r>
              <w:rPr>
                <w:rFonts w:cs="Arial"/>
                <w:iCs/>
                <w:sz w:val="22"/>
                <w:szCs w:val="22"/>
              </w:rPr>
              <w:t xml:space="preserve"> have been contacted.</w:t>
            </w:r>
          </w:p>
          <w:p w14:paraId="44D04A6D" w14:textId="05C40946" w:rsidR="00347E9B" w:rsidRDefault="00347E9B" w:rsidP="0059255B">
            <w:pPr>
              <w:rPr>
                <w:rFonts w:cs="Arial"/>
                <w:iCs/>
                <w:sz w:val="22"/>
                <w:szCs w:val="22"/>
              </w:rPr>
            </w:pPr>
          </w:p>
          <w:p w14:paraId="79343B77" w14:textId="290F3DA8" w:rsidR="00A11FE3" w:rsidRDefault="00347E9B" w:rsidP="0059255B">
            <w:pPr>
              <w:rPr>
                <w:rFonts w:cs="Arial"/>
                <w:iCs/>
                <w:sz w:val="22"/>
                <w:szCs w:val="22"/>
              </w:rPr>
            </w:pPr>
            <w:r>
              <w:rPr>
                <w:rFonts w:cs="Arial"/>
                <w:iCs/>
                <w:sz w:val="22"/>
                <w:szCs w:val="22"/>
              </w:rPr>
              <w:t>Th</w:t>
            </w:r>
            <w:r w:rsidR="00A11FE3">
              <w:rPr>
                <w:rFonts w:cs="Arial"/>
                <w:iCs/>
                <w:sz w:val="22"/>
                <w:szCs w:val="22"/>
              </w:rPr>
              <w:t xml:space="preserve">e audit review and </w:t>
            </w:r>
            <w:r>
              <w:rPr>
                <w:rFonts w:cs="Arial"/>
                <w:iCs/>
                <w:sz w:val="22"/>
                <w:szCs w:val="22"/>
              </w:rPr>
              <w:t xml:space="preserve">report will </w:t>
            </w:r>
            <w:r w:rsidR="006D1A11">
              <w:rPr>
                <w:rFonts w:cs="Arial"/>
                <w:iCs/>
                <w:sz w:val="22"/>
                <w:szCs w:val="22"/>
              </w:rPr>
              <w:t xml:space="preserve">concentrate </w:t>
            </w:r>
            <w:r>
              <w:rPr>
                <w:rFonts w:cs="Arial"/>
                <w:iCs/>
                <w:sz w:val="22"/>
                <w:szCs w:val="22"/>
              </w:rPr>
              <w:t xml:space="preserve">solely on the </w:t>
            </w:r>
            <w:r w:rsidR="00A11FE3">
              <w:rPr>
                <w:rFonts w:cs="Arial"/>
                <w:iCs/>
                <w:sz w:val="22"/>
                <w:szCs w:val="22"/>
              </w:rPr>
              <w:t>key</w:t>
            </w:r>
            <w:r>
              <w:rPr>
                <w:rFonts w:cs="Arial"/>
                <w:iCs/>
                <w:sz w:val="22"/>
                <w:szCs w:val="22"/>
              </w:rPr>
              <w:t xml:space="preserve"> areas identified within the original audit review scope</w:t>
            </w:r>
            <w:r w:rsidR="006D1A11">
              <w:rPr>
                <w:rFonts w:cs="Arial"/>
                <w:iCs/>
                <w:sz w:val="22"/>
                <w:szCs w:val="22"/>
              </w:rPr>
              <w:t xml:space="preserve"> and will </w:t>
            </w:r>
            <w:r w:rsidR="00A11FE3">
              <w:rPr>
                <w:rFonts w:cs="Arial"/>
                <w:iCs/>
                <w:sz w:val="22"/>
                <w:szCs w:val="22"/>
              </w:rPr>
              <w:t>provide an assessment of whether suitable processes and procedures</w:t>
            </w:r>
            <w:r w:rsidR="00A161D7">
              <w:rPr>
                <w:rFonts w:cs="Arial"/>
                <w:iCs/>
                <w:sz w:val="22"/>
                <w:szCs w:val="22"/>
              </w:rPr>
              <w:t xml:space="preserve"> in</w:t>
            </w:r>
            <w:r w:rsidR="000A3065">
              <w:rPr>
                <w:rFonts w:cs="Arial"/>
                <w:iCs/>
                <w:sz w:val="22"/>
                <w:szCs w:val="22"/>
              </w:rPr>
              <w:t xml:space="preserve"> </w:t>
            </w:r>
            <w:r w:rsidR="00A161D7">
              <w:rPr>
                <w:rFonts w:cs="Arial"/>
                <w:iCs/>
                <w:sz w:val="22"/>
                <w:szCs w:val="22"/>
              </w:rPr>
              <w:t xml:space="preserve">line with </w:t>
            </w:r>
            <w:r w:rsidR="00470B48">
              <w:rPr>
                <w:rFonts w:cs="Arial"/>
                <w:iCs/>
                <w:sz w:val="22"/>
                <w:szCs w:val="22"/>
              </w:rPr>
              <w:t>Council</w:t>
            </w:r>
            <w:r w:rsidR="00A161D7">
              <w:rPr>
                <w:rFonts w:cs="Arial"/>
                <w:iCs/>
                <w:sz w:val="22"/>
                <w:szCs w:val="22"/>
              </w:rPr>
              <w:t xml:space="preserve"> guidance and policy</w:t>
            </w:r>
            <w:r w:rsidR="00A11FE3">
              <w:rPr>
                <w:rFonts w:cs="Arial"/>
                <w:iCs/>
                <w:sz w:val="22"/>
                <w:szCs w:val="22"/>
              </w:rPr>
              <w:t xml:space="preserve"> were in place to support the project</w:t>
            </w:r>
            <w:r w:rsidR="006D1A11">
              <w:rPr>
                <w:rFonts w:cs="Arial"/>
                <w:iCs/>
                <w:sz w:val="22"/>
                <w:szCs w:val="22"/>
              </w:rPr>
              <w:t xml:space="preserve">. </w:t>
            </w:r>
          </w:p>
          <w:p w14:paraId="4A85B73D" w14:textId="32FB9948" w:rsidR="00A11FE3" w:rsidRPr="00A95149" w:rsidRDefault="00A11FE3" w:rsidP="0059255B">
            <w:pPr>
              <w:rPr>
                <w:rFonts w:cs="Arial"/>
                <w:iCs/>
                <w:sz w:val="22"/>
                <w:szCs w:val="22"/>
              </w:rPr>
            </w:pPr>
          </w:p>
        </w:tc>
      </w:tr>
    </w:tbl>
    <w:p w14:paraId="2E52BA41" w14:textId="77777777" w:rsidR="009F080C" w:rsidRPr="00C66995" w:rsidRDefault="009F080C" w:rsidP="005A5D55">
      <w:pPr>
        <w:jc w:val="both"/>
        <w:rPr>
          <w:rFonts w:cs="Arial"/>
          <w:szCs w:val="24"/>
        </w:rPr>
      </w:pPr>
    </w:p>
    <w:tbl>
      <w:tblPr>
        <w:tblStyle w:val="TableGrid"/>
        <w:tblW w:w="10661" w:type="dxa"/>
        <w:tblInd w:w="-1139" w:type="dxa"/>
        <w:tblLook w:val="04A0" w:firstRow="1" w:lastRow="0" w:firstColumn="1" w:lastColumn="0" w:noHBand="0" w:noVBand="1"/>
      </w:tblPr>
      <w:tblGrid>
        <w:gridCol w:w="339"/>
        <w:gridCol w:w="10322"/>
      </w:tblGrid>
      <w:tr w:rsidR="00C66995" w14:paraId="7AB81D2A" w14:textId="77777777" w:rsidTr="004778AF">
        <w:tc>
          <w:tcPr>
            <w:tcW w:w="339" w:type="dxa"/>
            <w:shd w:val="clear" w:color="auto" w:fill="3399FF"/>
          </w:tcPr>
          <w:p w14:paraId="525CC916" w14:textId="77777777" w:rsidR="00C66995" w:rsidRDefault="00C66995" w:rsidP="008C039C">
            <w:pPr>
              <w:jc w:val="both"/>
              <w:rPr>
                <w:rFonts w:cs="Arial"/>
                <w:szCs w:val="24"/>
              </w:rPr>
            </w:pPr>
          </w:p>
        </w:tc>
        <w:tc>
          <w:tcPr>
            <w:tcW w:w="10322" w:type="dxa"/>
            <w:shd w:val="clear" w:color="auto" w:fill="3399FF"/>
          </w:tcPr>
          <w:p w14:paraId="4C9B3E76" w14:textId="49257A0D" w:rsidR="00C66995" w:rsidRPr="00C66995" w:rsidRDefault="00C66995" w:rsidP="008C039C">
            <w:pPr>
              <w:jc w:val="both"/>
              <w:rPr>
                <w:rFonts w:cs="Arial"/>
                <w:b/>
                <w:szCs w:val="24"/>
              </w:rPr>
            </w:pPr>
            <w:r w:rsidRPr="00C66995">
              <w:rPr>
                <w:rFonts w:cs="Arial"/>
                <w:b/>
                <w:szCs w:val="24"/>
              </w:rPr>
              <w:t>Audit Objectives</w:t>
            </w:r>
          </w:p>
        </w:tc>
      </w:tr>
      <w:tr w:rsidR="0059255B" w14:paraId="1EFD4424" w14:textId="77777777" w:rsidTr="00D872F7">
        <w:tc>
          <w:tcPr>
            <w:tcW w:w="339" w:type="dxa"/>
          </w:tcPr>
          <w:p w14:paraId="0443CE78" w14:textId="3DC81C2A" w:rsidR="0059255B" w:rsidRPr="00835CA3" w:rsidRDefault="0059255B" w:rsidP="0059255B">
            <w:pPr>
              <w:jc w:val="both"/>
              <w:rPr>
                <w:rFonts w:cs="Arial"/>
                <w:sz w:val="22"/>
                <w:szCs w:val="22"/>
              </w:rPr>
            </w:pPr>
            <w:r w:rsidRPr="00835CA3">
              <w:rPr>
                <w:rFonts w:cs="Arial"/>
                <w:sz w:val="22"/>
                <w:szCs w:val="22"/>
              </w:rPr>
              <w:t>3</w:t>
            </w:r>
          </w:p>
        </w:tc>
        <w:tc>
          <w:tcPr>
            <w:tcW w:w="10322" w:type="dxa"/>
          </w:tcPr>
          <w:p w14:paraId="12E3ABB3" w14:textId="77777777" w:rsidR="003C6B46" w:rsidRPr="002B20D0" w:rsidRDefault="0059255B" w:rsidP="0059255B">
            <w:pPr>
              <w:rPr>
                <w:sz w:val="22"/>
                <w:szCs w:val="22"/>
              </w:rPr>
            </w:pPr>
            <w:r w:rsidRPr="002B20D0">
              <w:rPr>
                <w:sz w:val="22"/>
                <w:szCs w:val="22"/>
              </w:rPr>
              <w:t xml:space="preserve">The overall objective of the audit was to provide an opinion of the adequacy, application and reliability of the key internal controls put in place by management to ensure that the identified risks are being sufficiently managed. </w:t>
            </w:r>
          </w:p>
          <w:p w14:paraId="38548EF6" w14:textId="1FFEF402" w:rsidR="0059255B" w:rsidRPr="002B20D0" w:rsidRDefault="0059255B" w:rsidP="0059255B">
            <w:pPr>
              <w:rPr>
                <w:rFonts w:cs="Arial"/>
                <w:sz w:val="22"/>
                <w:szCs w:val="22"/>
              </w:rPr>
            </w:pPr>
            <w:r w:rsidRPr="002B20D0">
              <w:rPr>
                <w:sz w:val="22"/>
                <w:szCs w:val="22"/>
              </w:rPr>
              <w:t xml:space="preserve"> </w:t>
            </w:r>
          </w:p>
        </w:tc>
      </w:tr>
    </w:tbl>
    <w:p w14:paraId="334F8F7E" w14:textId="77777777" w:rsidR="00DB1F70" w:rsidRDefault="00DB1F70" w:rsidP="00C66995">
      <w:pPr>
        <w:pStyle w:val="ListParagraph"/>
        <w:rPr>
          <w:rFonts w:cs="Arial"/>
          <w:szCs w:val="24"/>
        </w:rPr>
      </w:pPr>
    </w:p>
    <w:tbl>
      <w:tblPr>
        <w:tblStyle w:val="TableGrid"/>
        <w:tblW w:w="10661" w:type="dxa"/>
        <w:tblInd w:w="-1139" w:type="dxa"/>
        <w:tblLook w:val="04A0" w:firstRow="1" w:lastRow="0" w:firstColumn="1" w:lastColumn="0" w:noHBand="0" w:noVBand="1"/>
      </w:tblPr>
      <w:tblGrid>
        <w:gridCol w:w="461"/>
        <w:gridCol w:w="10200"/>
      </w:tblGrid>
      <w:tr w:rsidR="005A4299" w:rsidRPr="00C66995" w14:paraId="3DC62A38" w14:textId="77777777" w:rsidTr="002F2DD1">
        <w:tc>
          <w:tcPr>
            <w:tcW w:w="461" w:type="dxa"/>
            <w:shd w:val="clear" w:color="auto" w:fill="3399FF"/>
          </w:tcPr>
          <w:p w14:paraId="0B5AC72D" w14:textId="77777777" w:rsidR="005A4299" w:rsidRDefault="005A4299" w:rsidP="00F370A7">
            <w:pPr>
              <w:jc w:val="both"/>
              <w:rPr>
                <w:rFonts w:cs="Arial"/>
                <w:szCs w:val="24"/>
              </w:rPr>
            </w:pPr>
          </w:p>
        </w:tc>
        <w:tc>
          <w:tcPr>
            <w:tcW w:w="10200" w:type="dxa"/>
            <w:shd w:val="clear" w:color="auto" w:fill="3399FF"/>
          </w:tcPr>
          <w:p w14:paraId="3497C750" w14:textId="315F12C0" w:rsidR="005A4299" w:rsidRPr="00C66995" w:rsidRDefault="00857F11" w:rsidP="00857F11">
            <w:pPr>
              <w:jc w:val="both"/>
              <w:rPr>
                <w:rFonts w:cs="Arial"/>
                <w:b/>
                <w:szCs w:val="24"/>
              </w:rPr>
            </w:pPr>
            <w:r>
              <w:rPr>
                <w:rFonts w:cs="Arial"/>
                <w:b/>
                <w:szCs w:val="24"/>
              </w:rPr>
              <w:t xml:space="preserve">Audit </w:t>
            </w:r>
            <w:r w:rsidR="00090001">
              <w:rPr>
                <w:rFonts w:cs="Arial"/>
                <w:b/>
                <w:szCs w:val="24"/>
              </w:rPr>
              <w:t xml:space="preserve">Assurance </w:t>
            </w:r>
          </w:p>
        </w:tc>
      </w:tr>
      <w:tr w:rsidR="0059255B" w14:paraId="351E0C27" w14:textId="77777777" w:rsidTr="002F2DD1">
        <w:tc>
          <w:tcPr>
            <w:tcW w:w="461" w:type="dxa"/>
          </w:tcPr>
          <w:p w14:paraId="2507FE7A" w14:textId="1BF69A4A" w:rsidR="0059255B" w:rsidRPr="00835CA3" w:rsidRDefault="006D1A11" w:rsidP="0059255B">
            <w:pPr>
              <w:jc w:val="both"/>
              <w:rPr>
                <w:rFonts w:cs="Arial"/>
                <w:sz w:val="22"/>
                <w:szCs w:val="22"/>
              </w:rPr>
            </w:pPr>
            <w:r>
              <w:rPr>
                <w:rFonts w:cs="Arial"/>
                <w:sz w:val="22"/>
                <w:szCs w:val="22"/>
              </w:rPr>
              <w:t>4</w:t>
            </w:r>
          </w:p>
        </w:tc>
        <w:tc>
          <w:tcPr>
            <w:tcW w:w="10200" w:type="dxa"/>
          </w:tcPr>
          <w:p w14:paraId="4C9760C5" w14:textId="6AE32573" w:rsidR="0059255B" w:rsidRPr="002B20D0" w:rsidRDefault="0059255B" w:rsidP="0059255B">
            <w:pPr>
              <w:rPr>
                <w:sz w:val="22"/>
                <w:szCs w:val="22"/>
              </w:rPr>
            </w:pPr>
            <w:r w:rsidRPr="002B20D0">
              <w:rPr>
                <w:sz w:val="22"/>
                <w:szCs w:val="22"/>
              </w:rPr>
              <w:t xml:space="preserve">The Head of Internal Audit is required to provide the </w:t>
            </w:r>
            <w:r w:rsidR="00E364F6">
              <w:rPr>
                <w:sz w:val="22"/>
                <w:szCs w:val="22"/>
              </w:rPr>
              <w:t xml:space="preserve">Governance </w:t>
            </w:r>
            <w:r w:rsidRPr="002B20D0">
              <w:rPr>
                <w:sz w:val="22"/>
                <w:szCs w:val="22"/>
              </w:rPr>
              <w:t xml:space="preserve">Committee with an annual audit opinion on the effectiveness of the overall control environment operating within the </w:t>
            </w:r>
            <w:r w:rsidR="00470B48">
              <w:rPr>
                <w:sz w:val="22"/>
                <w:szCs w:val="22"/>
              </w:rPr>
              <w:t>Council</w:t>
            </w:r>
            <w:r w:rsidRPr="002B20D0">
              <w:rPr>
                <w:sz w:val="22"/>
                <w:szCs w:val="22"/>
              </w:rPr>
              <w:t xml:space="preserve"> and to facilitate this each individual audit is awarded a controls assurance rating.   This is based upon the work undertaken during the review and considers the reliance we can place on the other sources of assurance.</w:t>
            </w:r>
          </w:p>
          <w:p w14:paraId="0DF618B2" w14:textId="1DFB4BCB" w:rsidR="003C6B46" w:rsidRPr="0059255B" w:rsidRDefault="003C6B46" w:rsidP="0059255B"/>
        </w:tc>
      </w:tr>
      <w:tr w:rsidR="00120C41" w14:paraId="598853B6" w14:textId="77777777" w:rsidTr="002F2DD1">
        <w:tc>
          <w:tcPr>
            <w:tcW w:w="461" w:type="dxa"/>
          </w:tcPr>
          <w:p w14:paraId="77569D8F" w14:textId="5E89DAEE" w:rsidR="00120C41" w:rsidRDefault="006D1A11" w:rsidP="0059255B">
            <w:pPr>
              <w:jc w:val="both"/>
              <w:rPr>
                <w:rFonts w:cs="Arial"/>
                <w:sz w:val="22"/>
                <w:szCs w:val="22"/>
              </w:rPr>
            </w:pPr>
            <w:r>
              <w:rPr>
                <w:rFonts w:cs="Arial"/>
                <w:sz w:val="22"/>
                <w:szCs w:val="22"/>
              </w:rPr>
              <w:t>5</w:t>
            </w:r>
          </w:p>
        </w:tc>
        <w:tc>
          <w:tcPr>
            <w:tcW w:w="10200" w:type="dxa"/>
          </w:tcPr>
          <w:p w14:paraId="4DA6000B" w14:textId="4E9D0C8B" w:rsidR="00120C41" w:rsidRDefault="00120C41" w:rsidP="00120C41">
            <w:pPr>
              <w:jc w:val="both"/>
              <w:rPr>
                <w:rFonts w:cs="Arial"/>
                <w:sz w:val="22"/>
                <w:szCs w:val="22"/>
              </w:rPr>
            </w:pPr>
            <w:r w:rsidRPr="002B20D0">
              <w:rPr>
                <w:rFonts w:cs="Arial"/>
                <w:sz w:val="22"/>
                <w:szCs w:val="22"/>
              </w:rPr>
              <w:t xml:space="preserve">Our work </w:t>
            </w:r>
            <w:r>
              <w:rPr>
                <w:rFonts w:cs="Arial"/>
                <w:sz w:val="22"/>
                <w:szCs w:val="22"/>
              </w:rPr>
              <w:t xml:space="preserve">identified that there were areas relating to procurement and project governance that fell short of the required standards outlined in the </w:t>
            </w:r>
            <w:r w:rsidR="00470B48">
              <w:rPr>
                <w:rFonts w:cs="Arial"/>
                <w:sz w:val="22"/>
                <w:szCs w:val="22"/>
              </w:rPr>
              <w:t>Council</w:t>
            </w:r>
            <w:r>
              <w:rPr>
                <w:rFonts w:cs="Arial"/>
                <w:sz w:val="22"/>
                <w:szCs w:val="22"/>
              </w:rPr>
              <w:t>s Contract Procedure Rules and the projects approved governance arrangements</w:t>
            </w:r>
            <w:r w:rsidR="0033012F">
              <w:rPr>
                <w:rFonts w:cs="Arial"/>
                <w:sz w:val="22"/>
                <w:szCs w:val="22"/>
              </w:rPr>
              <w:t xml:space="preserve"> therefore a Limited assurance rating has been awarded for this review.</w:t>
            </w:r>
          </w:p>
          <w:p w14:paraId="72C1BB11" w14:textId="77777777" w:rsidR="009F0657" w:rsidRDefault="009F0657" w:rsidP="00120C41">
            <w:pPr>
              <w:jc w:val="both"/>
              <w:rPr>
                <w:rFonts w:cs="Arial"/>
                <w:sz w:val="22"/>
                <w:szCs w:val="22"/>
              </w:rPr>
            </w:pPr>
          </w:p>
          <w:p w14:paraId="21C06F64" w14:textId="03523FC1" w:rsidR="00783167" w:rsidRPr="002F2DD1" w:rsidRDefault="00580C43" w:rsidP="00120C41">
            <w:pPr>
              <w:jc w:val="both"/>
              <w:rPr>
                <w:rFonts w:cs="Arial"/>
                <w:sz w:val="22"/>
                <w:szCs w:val="22"/>
              </w:rPr>
            </w:pPr>
            <w:r w:rsidRPr="002F2DD1">
              <w:rPr>
                <w:rFonts w:cs="Arial"/>
                <w:sz w:val="22"/>
                <w:szCs w:val="22"/>
              </w:rPr>
              <w:t>It is evident that the Council</w:t>
            </w:r>
            <w:r w:rsidR="009A5DAD" w:rsidRPr="002F2DD1">
              <w:rPr>
                <w:rFonts w:cs="Arial"/>
                <w:sz w:val="22"/>
                <w:szCs w:val="22"/>
              </w:rPr>
              <w:t xml:space="preserve"> gave consideration to the </w:t>
            </w:r>
            <w:r w:rsidR="00783167" w:rsidRPr="002F2DD1">
              <w:rPr>
                <w:rFonts w:cs="Arial"/>
                <w:sz w:val="22"/>
                <w:szCs w:val="22"/>
              </w:rPr>
              <w:t xml:space="preserve">procurement and </w:t>
            </w:r>
            <w:r w:rsidR="009A5DAD" w:rsidRPr="002F2DD1">
              <w:rPr>
                <w:rFonts w:cs="Arial"/>
                <w:sz w:val="22"/>
                <w:szCs w:val="22"/>
              </w:rPr>
              <w:t xml:space="preserve">governance arrangements that would be required for the successful implementation of the Health &amp; Wellbeing Campus and sought approval for these arrangements from Cabinet to expedite the project; however, in a short period of time </w:t>
            </w:r>
            <w:r w:rsidR="003B1CEA" w:rsidRPr="002F2DD1">
              <w:rPr>
                <w:rFonts w:cs="Arial"/>
                <w:sz w:val="22"/>
                <w:szCs w:val="22"/>
              </w:rPr>
              <w:t>the controls put in place for effective and transparent decision making diminished</w:t>
            </w:r>
            <w:r w:rsidR="00071CD9" w:rsidRPr="002F2DD1">
              <w:rPr>
                <w:rFonts w:cs="Arial"/>
                <w:sz w:val="22"/>
                <w:szCs w:val="22"/>
              </w:rPr>
              <w:t xml:space="preserve">. </w:t>
            </w:r>
            <w:r w:rsidR="00B95739" w:rsidRPr="002F2DD1">
              <w:rPr>
                <w:rFonts w:cs="Arial"/>
                <w:sz w:val="22"/>
                <w:szCs w:val="22"/>
              </w:rPr>
              <w:t xml:space="preserve"> </w:t>
            </w:r>
          </w:p>
          <w:p w14:paraId="05647B66" w14:textId="7ADEB8F1" w:rsidR="00F84A4F" w:rsidRPr="002F2DD1" w:rsidRDefault="00F84A4F" w:rsidP="00120C41">
            <w:pPr>
              <w:jc w:val="both"/>
              <w:rPr>
                <w:rFonts w:cs="Arial"/>
                <w:sz w:val="22"/>
                <w:szCs w:val="22"/>
              </w:rPr>
            </w:pPr>
          </w:p>
          <w:p w14:paraId="7472C984" w14:textId="0FEC6DE2" w:rsidR="00F84A4F" w:rsidRPr="002F2DD1" w:rsidRDefault="00F84A4F" w:rsidP="00F84A4F">
            <w:pPr>
              <w:jc w:val="both"/>
              <w:rPr>
                <w:rFonts w:cs="Arial"/>
                <w:sz w:val="22"/>
                <w:szCs w:val="22"/>
              </w:rPr>
            </w:pPr>
            <w:r w:rsidRPr="002F2DD1">
              <w:rPr>
                <w:rFonts w:cs="Arial"/>
                <w:sz w:val="22"/>
                <w:szCs w:val="22"/>
              </w:rPr>
              <w:t>A failure to record robust project documentation was evident in the procurement process and the subsequent appointment of Faithful &amp; Gould</w:t>
            </w:r>
            <w:r w:rsidR="0033012F" w:rsidRPr="002F2DD1">
              <w:rPr>
                <w:rFonts w:cs="Arial"/>
                <w:sz w:val="22"/>
                <w:szCs w:val="22"/>
              </w:rPr>
              <w:t xml:space="preserve"> Ltd</w:t>
            </w:r>
            <w:r w:rsidRPr="002F2DD1">
              <w:rPr>
                <w:rFonts w:cs="Arial"/>
                <w:sz w:val="22"/>
                <w:szCs w:val="22"/>
              </w:rPr>
              <w:t xml:space="preserve">, with our work identifying a breach of the Council’s Contract Procedures rules due to a lack of </w:t>
            </w:r>
            <w:r w:rsidR="00F756B2" w:rsidRPr="002F2DD1">
              <w:rPr>
                <w:rFonts w:cs="Arial"/>
                <w:sz w:val="22"/>
                <w:szCs w:val="22"/>
              </w:rPr>
              <w:t xml:space="preserve">an </w:t>
            </w:r>
            <w:r w:rsidRPr="002F2DD1">
              <w:rPr>
                <w:rFonts w:cs="Arial"/>
                <w:sz w:val="22"/>
                <w:szCs w:val="22"/>
              </w:rPr>
              <w:t>effective audit trail of evaluation/decision making stages undertaken.</w:t>
            </w:r>
          </w:p>
          <w:p w14:paraId="757D50A4" w14:textId="77777777" w:rsidR="00783167" w:rsidRPr="002F2DD1" w:rsidRDefault="00783167" w:rsidP="00120C41">
            <w:pPr>
              <w:jc w:val="both"/>
              <w:rPr>
                <w:rFonts w:cs="Arial"/>
                <w:sz w:val="22"/>
                <w:szCs w:val="22"/>
              </w:rPr>
            </w:pPr>
          </w:p>
          <w:p w14:paraId="36D75E7C" w14:textId="18D252E1" w:rsidR="00783167" w:rsidRPr="002F2DD1" w:rsidRDefault="00B43D51" w:rsidP="00120C41">
            <w:pPr>
              <w:jc w:val="both"/>
              <w:rPr>
                <w:rFonts w:cs="Arial"/>
                <w:sz w:val="22"/>
                <w:szCs w:val="22"/>
              </w:rPr>
            </w:pPr>
            <w:r w:rsidRPr="002F2DD1">
              <w:rPr>
                <w:rFonts w:cs="Arial"/>
                <w:sz w:val="22"/>
                <w:szCs w:val="22"/>
              </w:rPr>
              <w:t>The Campus Programme Board was a</w:t>
            </w:r>
            <w:r w:rsidR="00B95739" w:rsidRPr="002F2DD1">
              <w:rPr>
                <w:rFonts w:cs="Arial"/>
                <w:sz w:val="22"/>
                <w:szCs w:val="22"/>
              </w:rPr>
              <w:t xml:space="preserve"> key part of the governance framework </w:t>
            </w:r>
            <w:r w:rsidRPr="002F2DD1">
              <w:rPr>
                <w:rFonts w:cs="Arial"/>
                <w:sz w:val="22"/>
                <w:szCs w:val="22"/>
              </w:rPr>
              <w:t xml:space="preserve">put in place </w:t>
            </w:r>
            <w:r w:rsidR="00B95739" w:rsidRPr="002F2DD1">
              <w:rPr>
                <w:rFonts w:cs="Arial"/>
                <w:sz w:val="22"/>
                <w:szCs w:val="22"/>
              </w:rPr>
              <w:t>for the project</w:t>
            </w:r>
            <w:r w:rsidRPr="002F2DD1">
              <w:rPr>
                <w:rFonts w:cs="Arial"/>
                <w:sz w:val="22"/>
                <w:szCs w:val="22"/>
              </w:rPr>
              <w:t xml:space="preserve">, </w:t>
            </w:r>
            <w:r w:rsidR="00071CD9" w:rsidRPr="002F2DD1">
              <w:rPr>
                <w:rFonts w:cs="Arial"/>
                <w:sz w:val="22"/>
                <w:szCs w:val="22"/>
              </w:rPr>
              <w:t xml:space="preserve">but </w:t>
            </w:r>
            <w:r w:rsidRPr="002F2DD1">
              <w:rPr>
                <w:rFonts w:cs="Arial"/>
                <w:sz w:val="22"/>
                <w:szCs w:val="22"/>
              </w:rPr>
              <w:t>the failure to document</w:t>
            </w:r>
            <w:r w:rsidR="00121AD7" w:rsidRPr="002F2DD1">
              <w:rPr>
                <w:rFonts w:cs="Arial"/>
                <w:sz w:val="22"/>
                <w:szCs w:val="22"/>
              </w:rPr>
              <w:t xml:space="preserve"> discussions, decisions and recommendations</w:t>
            </w:r>
            <w:r w:rsidRPr="002F2DD1">
              <w:rPr>
                <w:rFonts w:cs="Arial"/>
                <w:sz w:val="22"/>
                <w:szCs w:val="22"/>
              </w:rPr>
              <w:t xml:space="preserve"> for Cabinet;</w:t>
            </w:r>
            <w:r w:rsidR="00121AD7" w:rsidRPr="002F2DD1">
              <w:rPr>
                <w:rFonts w:cs="Arial"/>
                <w:sz w:val="22"/>
                <w:szCs w:val="22"/>
              </w:rPr>
              <w:t xml:space="preserve"> and the ultimate ce</w:t>
            </w:r>
            <w:r w:rsidRPr="002F2DD1">
              <w:rPr>
                <w:rFonts w:cs="Arial"/>
                <w:sz w:val="22"/>
                <w:szCs w:val="22"/>
              </w:rPr>
              <w:t>ssation</w:t>
            </w:r>
            <w:r w:rsidR="00121AD7" w:rsidRPr="002F2DD1">
              <w:rPr>
                <w:rFonts w:cs="Arial"/>
                <w:sz w:val="22"/>
                <w:szCs w:val="22"/>
              </w:rPr>
              <w:t xml:space="preserve"> </w:t>
            </w:r>
            <w:r w:rsidRPr="002F2DD1">
              <w:rPr>
                <w:rFonts w:cs="Arial"/>
                <w:sz w:val="22"/>
                <w:szCs w:val="22"/>
              </w:rPr>
              <w:t xml:space="preserve">of the </w:t>
            </w:r>
            <w:r w:rsidR="00F84A4F" w:rsidRPr="002F2DD1">
              <w:rPr>
                <w:rFonts w:cs="Arial"/>
                <w:sz w:val="22"/>
                <w:szCs w:val="22"/>
              </w:rPr>
              <w:t>Programme B</w:t>
            </w:r>
            <w:r w:rsidRPr="002F2DD1">
              <w:rPr>
                <w:rFonts w:cs="Arial"/>
                <w:sz w:val="22"/>
                <w:szCs w:val="22"/>
              </w:rPr>
              <w:t>oard at an</w:t>
            </w:r>
            <w:r w:rsidR="00121AD7" w:rsidRPr="002F2DD1">
              <w:rPr>
                <w:rFonts w:cs="Arial"/>
                <w:sz w:val="22"/>
                <w:szCs w:val="22"/>
              </w:rPr>
              <w:t xml:space="preserve"> early point in the project </w:t>
            </w:r>
            <w:r w:rsidRPr="002F2DD1">
              <w:rPr>
                <w:rFonts w:cs="Arial"/>
                <w:sz w:val="22"/>
                <w:szCs w:val="22"/>
              </w:rPr>
              <w:t>coupled with a lack of</w:t>
            </w:r>
            <w:r w:rsidR="00121AD7" w:rsidRPr="002F2DD1">
              <w:rPr>
                <w:rFonts w:cs="Arial"/>
                <w:sz w:val="22"/>
                <w:szCs w:val="22"/>
              </w:rPr>
              <w:t xml:space="preserve"> subsequent reporting to Cabinet</w:t>
            </w:r>
            <w:r w:rsidRPr="002F2DD1">
              <w:rPr>
                <w:rFonts w:cs="Arial"/>
                <w:sz w:val="22"/>
                <w:szCs w:val="22"/>
              </w:rPr>
              <w:t xml:space="preserve"> was a significant governance failure.</w:t>
            </w:r>
            <w:r w:rsidR="00783167" w:rsidRPr="002F2DD1">
              <w:rPr>
                <w:rFonts w:cs="Arial"/>
                <w:sz w:val="22"/>
                <w:szCs w:val="22"/>
              </w:rPr>
              <w:t xml:space="preserve"> </w:t>
            </w:r>
            <w:r w:rsidR="00C0656D" w:rsidRPr="002F2DD1">
              <w:rPr>
                <w:rFonts w:cs="Arial"/>
                <w:sz w:val="22"/>
                <w:szCs w:val="22"/>
              </w:rPr>
              <w:t xml:space="preserve"> </w:t>
            </w:r>
            <w:r w:rsidR="00C625B2" w:rsidRPr="002F2DD1">
              <w:rPr>
                <w:rFonts w:cs="Arial"/>
                <w:sz w:val="22"/>
                <w:szCs w:val="22"/>
              </w:rPr>
              <w:t xml:space="preserve">These deviations from the approved governance </w:t>
            </w:r>
            <w:r w:rsidR="00DB69DF" w:rsidRPr="002F2DD1">
              <w:rPr>
                <w:rFonts w:cs="Arial"/>
                <w:sz w:val="22"/>
                <w:szCs w:val="22"/>
              </w:rPr>
              <w:t>controls</w:t>
            </w:r>
            <w:r w:rsidR="00C625B2" w:rsidRPr="002F2DD1">
              <w:rPr>
                <w:rFonts w:cs="Arial"/>
                <w:sz w:val="22"/>
                <w:szCs w:val="22"/>
              </w:rPr>
              <w:t xml:space="preserve"> </w:t>
            </w:r>
            <w:r w:rsidR="00F84A4F" w:rsidRPr="002F2DD1">
              <w:rPr>
                <w:rFonts w:cs="Arial"/>
                <w:sz w:val="22"/>
                <w:szCs w:val="22"/>
              </w:rPr>
              <w:t xml:space="preserve">meant that </w:t>
            </w:r>
            <w:r w:rsidR="00C625B2" w:rsidRPr="002F2DD1">
              <w:rPr>
                <w:rFonts w:cs="Arial"/>
                <w:sz w:val="22"/>
                <w:szCs w:val="22"/>
              </w:rPr>
              <w:t>Members</w:t>
            </w:r>
            <w:r w:rsidR="00F84A4F" w:rsidRPr="002F2DD1">
              <w:rPr>
                <w:rFonts w:cs="Arial"/>
                <w:sz w:val="22"/>
                <w:szCs w:val="22"/>
              </w:rPr>
              <w:t xml:space="preserve"> were not formally informed of </w:t>
            </w:r>
            <w:r w:rsidR="00D7125A" w:rsidRPr="002F2DD1">
              <w:rPr>
                <w:rFonts w:cs="Arial"/>
                <w:sz w:val="22"/>
                <w:szCs w:val="22"/>
              </w:rPr>
              <w:t xml:space="preserve">significant </w:t>
            </w:r>
            <w:r w:rsidR="00F84A4F" w:rsidRPr="002F2DD1">
              <w:rPr>
                <w:rFonts w:cs="Arial"/>
                <w:sz w:val="22"/>
                <w:szCs w:val="22"/>
              </w:rPr>
              <w:t>increase</w:t>
            </w:r>
            <w:r w:rsidR="00D7125A" w:rsidRPr="002F2DD1">
              <w:rPr>
                <w:rFonts w:cs="Arial"/>
                <w:sz w:val="22"/>
                <w:szCs w:val="22"/>
              </w:rPr>
              <w:t>s in</w:t>
            </w:r>
            <w:r w:rsidR="00F84A4F" w:rsidRPr="002F2DD1">
              <w:rPr>
                <w:rFonts w:cs="Arial"/>
                <w:sz w:val="22"/>
                <w:szCs w:val="22"/>
              </w:rPr>
              <w:t xml:space="preserve"> projected costs associated with the project</w:t>
            </w:r>
            <w:r w:rsidR="00D7125A" w:rsidRPr="002F2DD1">
              <w:rPr>
                <w:rFonts w:cs="Arial"/>
                <w:sz w:val="22"/>
                <w:szCs w:val="22"/>
              </w:rPr>
              <w:t xml:space="preserve">; </w:t>
            </w:r>
            <w:r w:rsidR="00F84A4F" w:rsidRPr="002F2DD1">
              <w:rPr>
                <w:rFonts w:cs="Arial"/>
                <w:sz w:val="22"/>
                <w:szCs w:val="22"/>
              </w:rPr>
              <w:t xml:space="preserve">and were not given the opportunity to </w:t>
            </w:r>
            <w:r w:rsidR="00C625B2" w:rsidRPr="002F2DD1">
              <w:rPr>
                <w:rFonts w:cs="Arial"/>
                <w:sz w:val="22"/>
                <w:szCs w:val="22"/>
              </w:rPr>
              <w:t>ma</w:t>
            </w:r>
            <w:r w:rsidR="00F84A4F" w:rsidRPr="002F2DD1">
              <w:rPr>
                <w:rFonts w:cs="Arial"/>
                <w:sz w:val="22"/>
                <w:szCs w:val="22"/>
              </w:rPr>
              <w:t>ke</w:t>
            </w:r>
            <w:r w:rsidR="00C625B2" w:rsidRPr="002F2DD1">
              <w:rPr>
                <w:rFonts w:cs="Arial"/>
                <w:sz w:val="22"/>
                <w:szCs w:val="22"/>
              </w:rPr>
              <w:t xml:space="preserve"> effective </w:t>
            </w:r>
            <w:r w:rsidR="00F84A4F" w:rsidRPr="002F2DD1">
              <w:rPr>
                <w:rFonts w:cs="Arial"/>
                <w:sz w:val="22"/>
                <w:szCs w:val="22"/>
              </w:rPr>
              <w:t xml:space="preserve">key </w:t>
            </w:r>
            <w:r w:rsidR="00C625B2" w:rsidRPr="002F2DD1">
              <w:rPr>
                <w:rFonts w:cs="Arial"/>
                <w:sz w:val="22"/>
                <w:szCs w:val="22"/>
              </w:rPr>
              <w:t>decisions in</w:t>
            </w:r>
            <w:r w:rsidR="00D7125A" w:rsidRPr="002F2DD1">
              <w:rPr>
                <w:rFonts w:cs="Arial"/>
                <w:sz w:val="22"/>
                <w:szCs w:val="22"/>
              </w:rPr>
              <w:t xml:space="preserve"> this</w:t>
            </w:r>
            <w:r w:rsidR="00C625B2" w:rsidRPr="002F2DD1">
              <w:rPr>
                <w:rFonts w:cs="Arial"/>
                <w:sz w:val="22"/>
                <w:szCs w:val="22"/>
              </w:rPr>
              <w:t xml:space="preserve"> regard </w:t>
            </w:r>
            <w:r w:rsidR="00F84A4F" w:rsidRPr="002F2DD1">
              <w:rPr>
                <w:rFonts w:cs="Arial"/>
                <w:sz w:val="22"/>
                <w:szCs w:val="22"/>
              </w:rPr>
              <w:t xml:space="preserve">at </w:t>
            </w:r>
            <w:r w:rsidR="0033012F" w:rsidRPr="002F2DD1">
              <w:rPr>
                <w:rFonts w:cs="Arial"/>
                <w:sz w:val="22"/>
                <w:szCs w:val="22"/>
              </w:rPr>
              <w:t>a</w:t>
            </w:r>
            <w:r w:rsidR="00F84A4F" w:rsidRPr="002F2DD1">
              <w:rPr>
                <w:rFonts w:cs="Arial"/>
                <w:sz w:val="22"/>
                <w:szCs w:val="22"/>
              </w:rPr>
              <w:t xml:space="preserve"> crucial point in </w:t>
            </w:r>
            <w:r w:rsidR="00A31B7D" w:rsidRPr="002F2DD1">
              <w:rPr>
                <w:rFonts w:cs="Arial"/>
                <w:sz w:val="22"/>
                <w:szCs w:val="22"/>
              </w:rPr>
              <w:t>the project</w:t>
            </w:r>
            <w:r w:rsidR="00F84A4F" w:rsidRPr="002F2DD1">
              <w:rPr>
                <w:rFonts w:cs="Arial"/>
                <w:sz w:val="22"/>
                <w:szCs w:val="22"/>
              </w:rPr>
              <w:t>.</w:t>
            </w:r>
            <w:r w:rsidR="00D7125A" w:rsidRPr="002F2DD1">
              <w:rPr>
                <w:rFonts w:cs="Arial"/>
                <w:sz w:val="22"/>
                <w:szCs w:val="22"/>
              </w:rPr>
              <w:t xml:space="preserve"> </w:t>
            </w:r>
          </w:p>
          <w:p w14:paraId="4188BFBF" w14:textId="3630DC87" w:rsidR="00D7125A" w:rsidRPr="002F2DD1" w:rsidRDefault="00D7125A" w:rsidP="00120C41">
            <w:pPr>
              <w:jc w:val="both"/>
              <w:rPr>
                <w:rFonts w:cs="Arial"/>
                <w:sz w:val="22"/>
                <w:szCs w:val="22"/>
              </w:rPr>
            </w:pPr>
          </w:p>
          <w:p w14:paraId="524FAFEB" w14:textId="4039989C" w:rsidR="00783167" w:rsidRPr="002F2DD1" w:rsidRDefault="00D7125A" w:rsidP="00120C41">
            <w:pPr>
              <w:jc w:val="both"/>
              <w:rPr>
                <w:rFonts w:cs="Arial"/>
                <w:sz w:val="22"/>
                <w:szCs w:val="22"/>
              </w:rPr>
            </w:pPr>
            <w:r w:rsidRPr="002F2DD1">
              <w:rPr>
                <w:rFonts w:cs="Arial"/>
                <w:sz w:val="22"/>
                <w:szCs w:val="22"/>
              </w:rPr>
              <w:t>Senior officers of the Council were aware of emerging costs</w:t>
            </w:r>
            <w:r w:rsidR="006B1FEB" w:rsidRPr="002F2DD1">
              <w:rPr>
                <w:rFonts w:cs="Arial"/>
                <w:sz w:val="22"/>
                <w:szCs w:val="22"/>
              </w:rPr>
              <w:t xml:space="preserve"> that would result in the project exceeding the amount approved within the Council’s capital programme and </w:t>
            </w:r>
            <w:r w:rsidR="00B663E0" w:rsidRPr="002F2DD1">
              <w:rPr>
                <w:rFonts w:cs="Arial"/>
                <w:sz w:val="22"/>
                <w:szCs w:val="22"/>
              </w:rPr>
              <w:t>failed to</w:t>
            </w:r>
            <w:r w:rsidR="006B1FEB" w:rsidRPr="002F2DD1">
              <w:rPr>
                <w:rFonts w:cs="Arial"/>
                <w:sz w:val="22"/>
                <w:szCs w:val="22"/>
              </w:rPr>
              <w:t xml:space="preserve"> meet the requirements of the Financial Regulations</w:t>
            </w:r>
            <w:r w:rsidR="00A31B7D" w:rsidRPr="002F2DD1">
              <w:rPr>
                <w:rFonts w:cs="Arial"/>
                <w:sz w:val="22"/>
                <w:szCs w:val="22"/>
              </w:rPr>
              <w:t xml:space="preserve"> in relation to identifying variations, reporting capital expenditure and ensuring that expenditure continue</w:t>
            </w:r>
            <w:r w:rsidR="00230580" w:rsidRPr="002F2DD1">
              <w:rPr>
                <w:rFonts w:cs="Arial"/>
                <w:sz w:val="22"/>
                <w:szCs w:val="22"/>
              </w:rPr>
              <w:t>d</w:t>
            </w:r>
            <w:r w:rsidR="00A31B7D" w:rsidRPr="002F2DD1">
              <w:rPr>
                <w:rFonts w:cs="Arial"/>
                <w:sz w:val="22"/>
                <w:szCs w:val="22"/>
              </w:rPr>
              <w:t xml:space="preserve"> to deliver best value for money for the Council. Furthermore, </w:t>
            </w:r>
            <w:r w:rsidR="00B663E0" w:rsidRPr="002F2DD1">
              <w:rPr>
                <w:rFonts w:cs="Arial"/>
                <w:sz w:val="22"/>
                <w:szCs w:val="22"/>
              </w:rPr>
              <w:t>the ongoing</w:t>
            </w:r>
            <w:r w:rsidR="00A31B7D" w:rsidRPr="002F2DD1">
              <w:rPr>
                <w:rFonts w:cs="Arial"/>
                <w:sz w:val="22"/>
                <w:szCs w:val="22"/>
              </w:rPr>
              <w:t xml:space="preserve"> disregard by senior officers to refer all decisions over £100,000 to Cabinet </w:t>
            </w:r>
            <w:r w:rsidR="00CB71A7" w:rsidRPr="002F2DD1">
              <w:rPr>
                <w:rFonts w:cs="Arial"/>
                <w:sz w:val="22"/>
                <w:szCs w:val="22"/>
              </w:rPr>
              <w:t>allowed</w:t>
            </w:r>
            <w:r w:rsidR="0033012F" w:rsidRPr="002F2DD1">
              <w:rPr>
                <w:rFonts w:cs="Arial"/>
                <w:sz w:val="22"/>
                <w:szCs w:val="22"/>
              </w:rPr>
              <w:t xml:space="preserve"> </w:t>
            </w:r>
            <w:r w:rsidR="00B663E0" w:rsidRPr="002F2DD1">
              <w:rPr>
                <w:rFonts w:cs="Arial"/>
                <w:sz w:val="22"/>
                <w:szCs w:val="22"/>
              </w:rPr>
              <w:t xml:space="preserve">the continued commissioning of work in the Council’s regard </w:t>
            </w:r>
            <w:r w:rsidR="0033012F" w:rsidRPr="002F2DD1">
              <w:rPr>
                <w:rFonts w:cs="Arial"/>
                <w:sz w:val="22"/>
                <w:szCs w:val="22"/>
              </w:rPr>
              <w:t>by Faithful &amp; Gould Ltd</w:t>
            </w:r>
            <w:r w:rsidR="00B663E0" w:rsidRPr="002F2DD1">
              <w:rPr>
                <w:rFonts w:cs="Arial"/>
                <w:sz w:val="22"/>
                <w:szCs w:val="22"/>
              </w:rPr>
              <w:t xml:space="preserve"> with final costs amounting to £600,000.</w:t>
            </w:r>
          </w:p>
          <w:p w14:paraId="7CA07FEB" w14:textId="3458661D" w:rsidR="00634DD6" w:rsidRPr="002F2DD1" w:rsidRDefault="00634DD6" w:rsidP="00120C41">
            <w:pPr>
              <w:jc w:val="both"/>
              <w:rPr>
                <w:rFonts w:cs="Arial"/>
                <w:sz w:val="22"/>
                <w:szCs w:val="22"/>
              </w:rPr>
            </w:pPr>
          </w:p>
          <w:p w14:paraId="3E52373C" w14:textId="6DE982F4" w:rsidR="00634DD6" w:rsidRPr="002F2DD1" w:rsidRDefault="00634DD6" w:rsidP="00120C41">
            <w:pPr>
              <w:jc w:val="both"/>
              <w:rPr>
                <w:rFonts w:cs="Arial"/>
                <w:sz w:val="22"/>
                <w:szCs w:val="22"/>
              </w:rPr>
            </w:pPr>
            <w:r w:rsidRPr="002F2DD1">
              <w:rPr>
                <w:rFonts w:cs="Arial"/>
                <w:sz w:val="22"/>
                <w:szCs w:val="22"/>
              </w:rPr>
              <w:t xml:space="preserve">These substantive control weaknesses, compounded by </w:t>
            </w:r>
            <w:r w:rsidR="006113B0" w:rsidRPr="002F2DD1">
              <w:rPr>
                <w:rFonts w:cs="Arial"/>
                <w:sz w:val="22"/>
                <w:szCs w:val="22"/>
              </w:rPr>
              <w:t xml:space="preserve">the </w:t>
            </w:r>
            <w:r w:rsidRPr="002F2DD1">
              <w:rPr>
                <w:rFonts w:cs="Arial"/>
                <w:sz w:val="22"/>
                <w:szCs w:val="22"/>
              </w:rPr>
              <w:t xml:space="preserve">further governance </w:t>
            </w:r>
            <w:r w:rsidR="006113B0" w:rsidRPr="002F2DD1">
              <w:rPr>
                <w:rFonts w:cs="Arial"/>
                <w:sz w:val="22"/>
                <w:szCs w:val="22"/>
              </w:rPr>
              <w:t xml:space="preserve">failures identified in this report negatively impacted on the Council’s ability to successfully deliver </w:t>
            </w:r>
            <w:r w:rsidR="002F2DD1" w:rsidRPr="002F2DD1">
              <w:rPr>
                <w:rFonts w:cs="Arial"/>
                <w:sz w:val="22"/>
                <w:szCs w:val="22"/>
              </w:rPr>
              <w:t>the required</w:t>
            </w:r>
            <w:r w:rsidR="006113B0" w:rsidRPr="002F2DD1">
              <w:rPr>
                <w:rFonts w:cs="Arial"/>
                <w:sz w:val="22"/>
                <w:szCs w:val="22"/>
              </w:rPr>
              <w:t xml:space="preserve"> outcomes of the Leisure, Health &amp; Wellbeing Campus Project.</w:t>
            </w:r>
          </w:p>
          <w:p w14:paraId="72B0C130" w14:textId="01F05430" w:rsidR="002F2DD1" w:rsidRPr="002F2DD1" w:rsidRDefault="002F2DD1" w:rsidP="00120C41">
            <w:pPr>
              <w:jc w:val="both"/>
              <w:rPr>
                <w:rFonts w:cs="Arial"/>
                <w:sz w:val="22"/>
                <w:szCs w:val="22"/>
              </w:rPr>
            </w:pPr>
          </w:p>
          <w:p w14:paraId="064ADB6D" w14:textId="77777777" w:rsidR="002F2DD1" w:rsidRDefault="002F2DD1" w:rsidP="002F2DD1">
            <w:pPr>
              <w:jc w:val="both"/>
              <w:rPr>
                <w:rFonts w:cs="Arial"/>
                <w:sz w:val="22"/>
                <w:szCs w:val="22"/>
              </w:rPr>
            </w:pPr>
            <w:r>
              <w:rPr>
                <w:rFonts w:cs="Arial"/>
                <w:sz w:val="22"/>
                <w:szCs w:val="22"/>
              </w:rPr>
              <w:t>Due to weaknesses outlined above and the lack of documentation available to support project decisions</w:t>
            </w:r>
            <w:r w:rsidRPr="002B20D0">
              <w:rPr>
                <w:rFonts w:cs="Arial"/>
                <w:sz w:val="22"/>
                <w:szCs w:val="22"/>
              </w:rPr>
              <w:t>, a</w:t>
            </w:r>
            <w:r w:rsidRPr="002B20D0">
              <w:rPr>
                <w:rFonts w:cs="Arial"/>
                <w:b/>
                <w:sz w:val="22"/>
                <w:szCs w:val="22"/>
              </w:rPr>
              <w:t xml:space="preserve"> </w:t>
            </w:r>
            <w:r>
              <w:rPr>
                <w:rFonts w:cs="Arial"/>
                <w:b/>
                <w:sz w:val="22"/>
                <w:szCs w:val="22"/>
              </w:rPr>
              <w:t>Limited</w:t>
            </w:r>
            <w:r w:rsidRPr="002B20D0">
              <w:rPr>
                <w:rFonts w:cs="Arial"/>
                <w:b/>
                <w:sz w:val="22"/>
                <w:szCs w:val="22"/>
              </w:rPr>
              <w:t xml:space="preserve"> </w:t>
            </w:r>
            <w:r w:rsidRPr="002B20D0">
              <w:rPr>
                <w:rFonts w:cs="Arial"/>
                <w:sz w:val="22"/>
                <w:szCs w:val="22"/>
              </w:rPr>
              <w:t xml:space="preserve">assurance rating has been awarded for this review.  </w:t>
            </w:r>
          </w:p>
          <w:p w14:paraId="00D094C8" w14:textId="77777777" w:rsidR="002F2DD1" w:rsidRDefault="002F2DD1" w:rsidP="002F2DD1">
            <w:pPr>
              <w:jc w:val="both"/>
              <w:rPr>
                <w:rFonts w:cs="Arial"/>
                <w:sz w:val="22"/>
                <w:szCs w:val="22"/>
              </w:rPr>
            </w:pPr>
          </w:p>
          <w:p w14:paraId="5CE86843" w14:textId="77777777" w:rsidR="002F2DD1" w:rsidRDefault="002F2DD1" w:rsidP="002F2DD1">
            <w:pPr>
              <w:spacing w:after="200" w:line="276" w:lineRule="auto"/>
              <w:contextualSpacing/>
              <w:rPr>
                <w:rFonts w:eastAsiaTheme="minorHAnsi" w:cs="Arial"/>
                <w:b/>
                <w:sz w:val="20"/>
              </w:rPr>
            </w:pPr>
            <w:r w:rsidRPr="0065650A">
              <w:rPr>
                <w:rFonts w:eastAsiaTheme="minorHAnsi" w:cs="Arial"/>
                <w:b/>
                <w:sz w:val="20"/>
              </w:rPr>
              <w:t>Control Rating</w:t>
            </w:r>
            <w:r>
              <w:rPr>
                <w:rFonts w:eastAsiaTheme="minorHAnsi" w:cs="Arial"/>
                <w:b/>
                <w:sz w:val="20"/>
              </w:rPr>
              <w:t xml:space="preserve"> Key</w:t>
            </w:r>
          </w:p>
          <w:p w14:paraId="5AF4C79A" w14:textId="77777777" w:rsidR="002F2DD1" w:rsidRDefault="002F2DD1" w:rsidP="002F2DD1">
            <w:pPr>
              <w:spacing w:after="200" w:line="276" w:lineRule="auto"/>
              <w:contextualSpacing/>
              <w:rPr>
                <w:rFonts w:eastAsiaTheme="minorHAnsi" w:cs="Arial"/>
                <w:b/>
                <w:sz w:val="20"/>
              </w:rPr>
            </w:pPr>
            <w:r w:rsidRPr="00161C45">
              <w:rPr>
                <w:rFonts w:eastAsiaTheme="minorHAnsi" w:cs="Arial"/>
                <w:b/>
                <w:iCs/>
                <w:sz w:val="18"/>
                <w:szCs w:val="18"/>
              </w:rPr>
              <w:t xml:space="preserve">Full – </w:t>
            </w:r>
            <w:r w:rsidRPr="00161C45">
              <w:rPr>
                <w:rFonts w:eastAsiaTheme="minorHAnsi" w:cs="Arial"/>
                <w:iCs/>
                <w:sz w:val="18"/>
                <w:szCs w:val="18"/>
              </w:rPr>
              <w:t>the Authority can place complete reliance on the controls.  No control weaknesses exist.</w:t>
            </w:r>
          </w:p>
          <w:p w14:paraId="7B9A4E83" w14:textId="77777777" w:rsidR="002F2DD1" w:rsidRDefault="002F2DD1" w:rsidP="002F2DD1">
            <w:pPr>
              <w:spacing w:after="200" w:line="276" w:lineRule="auto"/>
              <w:contextualSpacing/>
              <w:rPr>
                <w:rFonts w:eastAsiaTheme="minorHAnsi" w:cs="Arial"/>
                <w:b/>
                <w:sz w:val="20"/>
              </w:rPr>
            </w:pPr>
            <w:r w:rsidRPr="00161C45">
              <w:rPr>
                <w:rFonts w:eastAsiaTheme="minorHAnsi" w:cs="Arial"/>
                <w:b/>
                <w:sz w:val="18"/>
                <w:szCs w:val="18"/>
                <w:lang w:val="en-US"/>
              </w:rPr>
              <w:t>Substantial</w:t>
            </w:r>
            <w:r w:rsidRPr="00161C45">
              <w:rPr>
                <w:rFonts w:eastAsiaTheme="minorHAnsi" w:cs="Arial"/>
                <w:sz w:val="18"/>
                <w:szCs w:val="18"/>
                <w:lang w:val="en-US"/>
              </w:rPr>
              <w:t xml:space="preserve"> - </w:t>
            </w:r>
            <w:r w:rsidRPr="00161C45">
              <w:rPr>
                <w:rFonts w:eastAsiaTheme="minorHAnsi" w:cs="Arial"/>
                <w:iCs/>
                <w:sz w:val="18"/>
                <w:szCs w:val="18"/>
              </w:rPr>
              <w:t>the Authority can place sufficient reliance on the controls. Only minor control weaknesses exist.</w:t>
            </w:r>
          </w:p>
          <w:p w14:paraId="69C2E32F" w14:textId="77777777" w:rsidR="002F2DD1" w:rsidRDefault="002F2DD1" w:rsidP="002F2DD1">
            <w:pPr>
              <w:spacing w:after="200" w:line="276" w:lineRule="auto"/>
              <w:contextualSpacing/>
              <w:rPr>
                <w:rFonts w:eastAsiaTheme="minorHAnsi" w:cs="Arial"/>
                <w:iCs/>
                <w:sz w:val="18"/>
                <w:szCs w:val="18"/>
              </w:rPr>
            </w:pPr>
            <w:r w:rsidRPr="00161C45">
              <w:rPr>
                <w:rFonts w:eastAsiaTheme="minorHAnsi" w:cs="Arial"/>
                <w:b/>
                <w:sz w:val="18"/>
                <w:szCs w:val="18"/>
                <w:lang w:val="en-US"/>
              </w:rPr>
              <w:t>Adequate</w:t>
            </w:r>
            <w:r w:rsidRPr="00161C45">
              <w:rPr>
                <w:rFonts w:eastAsiaTheme="minorHAnsi" w:cs="Arial"/>
                <w:sz w:val="18"/>
                <w:szCs w:val="18"/>
                <w:lang w:val="en-US"/>
              </w:rPr>
              <w:t xml:space="preserve"> -</w:t>
            </w:r>
            <w:r w:rsidRPr="00161C45">
              <w:rPr>
                <w:rFonts w:eastAsiaTheme="minorHAnsi" w:cs="Arial"/>
                <w:iCs/>
                <w:sz w:val="18"/>
                <w:szCs w:val="18"/>
              </w:rPr>
              <w:t xml:space="preserve"> the Authority can place only partial reliance on the controls.  Some control issues need to be resolved. </w:t>
            </w:r>
          </w:p>
          <w:p w14:paraId="74927BFB" w14:textId="77777777" w:rsidR="002F2DD1" w:rsidRPr="002B20D0" w:rsidRDefault="002F2DD1" w:rsidP="002F2DD1">
            <w:pPr>
              <w:jc w:val="both"/>
              <w:rPr>
                <w:rFonts w:cs="Arial"/>
                <w:sz w:val="22"/>
                <w:szCs w:val="22"/>
              </w:rPr>
            </w:pPr>
            <w:r w:rsidRPr="00161C45">
              <w:rPr>
                <w:rFonts w:eastAsiaTheme="minorHAnsi" w:cs="Arial"/>
                <w:b/>
                <w:sz w:val="18"/>
                <w:szCs w:val="18"/>
                <w:lang w:val="en-US"/>
              </w:rPr>
              <w:t>Limited</w:t>
            </w:r>
            <w:r w:rsidRPr="00161C45">
              <w:rPr>
                <w:rFonts w:eastAsiaTheme="minorHAnsi" w:cs="Arial"/>
                <w:iCs/>
                <w:sz w:val="18"/>
                <w:szCs w:val="18"/>
              </w:rPr>
              <w:t xml:space="preserve"> - the Authority cannot place sufficient reliance on the controls.  Substantive control weaknesses exist</w:t>
            </w:r>
          </w:p>
          <w:p w14:paraId="7BDA71C0" w14:textId="77777777" w:rsidR="002F2DD1" w:rsidRDefault="002F2DD1" w:rsidP="00120C41">
            <w:pPr>
              <w:jc w:val="both"/>
              <w:rPr>
                <w:rFonts w:cs="Arial"/>
                <w:color w:val="FF0000"/>
                <w:sz w:val="22"/>
                <w:szCs w:val="22"/>
              </w:rPr>
            </w:pPr>
          </w:p>
          <w:p w14:paraId="50E76E89" w14:textId="6D56D8FD" w:rsidR="00783167" w:rsidRPr="002B20D0" w:rsidRDefault="00783167" w:rsidP="0033012F">
            <w:pPr>
              <w:jc w:val="both"/>
              <w:rPr>
                <w:rFonts w:cs="Arial"/>
                <w:sz w:val="22"/>
                <w:szCs w:val="22"/>
              </w:rPr>
            </w:pPr>
          </w:p>
        </w:tc>
      </w:tr>
      <w:tr w:rsidR="009F0657" w14:paraId="56E5241E" w14:textId="77777777" w:rsidTr="002F2DD1">
        <w:tc>
          <w:tcPr>
            <w:tcW w:w="461" w:type="dxa"/>
          </w:tcPr>
          <w:p w14:paraId="2C1DFF2B" w14:textId="77777777" w:rsidR="009F0657" w:rsidRDefault="009F0657" w:rsidP="0059255B">
            <w:pPr>
              <w:jc w:val="both"/>
              <w:rPr>
                <w:rFonts w:cs="Arial"/>
                <w:sz w:val="22"/>
                <w:szCs w:val="22"/>
              </w:rPr>
            </w:pPr>
          </w:p>
        </w:tc>
        <w:tc>
          <w:tcPr>
            <w:tcW w:w="10200" w:type="dxa"/>
          </w:tcPr>
          <w:p w14:paraId="24D696E7" w14:textId="77777777" w:rsidR="009F0657" w:rsidRDefault="003E0D0B" w:rsidP="003E0D0B">
            <w:pPr>
              <w:jc w:val="both"/>
              <w:rPr>
                <w:rFonts w:cs="Arial"/>
                <w:b/>
                <w:bCs/>
                <w:sz w:val="22"/>
                <w:szCs w:val="22"/>
              </w:rPr>
            </w:pPr>
            <w:r>
              <w:rPr>
                <w:rFonts w:cs="Arial"/>
                <w:b/>
                <w:bCs/>
                <w:sz w:val="22"/>
                <w:szCs w:val="22"/>
              </w:rPr>
              <w:t>Background</w:t>
            </w:r>
          </w:p>
          <w:p w14:paraId="15D2E698" w14:textId="00A06886" w:rsidR="003E0D0B" w:rsidRDefault="003E0D0B" w:rsidP="003E0D0B">
            <w:pPr>
              <w:jc w:val="both"/>
              <w:rPr>
                <w:rFonts w:cs="Arial"/>
                <w:sz w:val="22"/>
                <w:szCs w:val="22"/>
              </w:rPr>
            </w:pPr>
          </w:p>
        </w:tc>
      </w:tr>
      <w:tr w:rsidR="009F0657" w14:paraId="3F8D4884" w14:textId="77777777" w:rsidTr="002F2DD1">
        <w:tc>
          <w:tcPr>
            <w:tcW w:w="461" w:type="dxa"/>
          </w:tcPr>
          <w:p w14:paraId="081E0DBA" w14:textId="5F7542EE" w:rsidR="009F0657" w:rsidRDefault="006D1A11" w:rsidP="0059255B">
            <w:pPr>
              <w:jc w:val="both"/>
              <w:rPr>
                <w:rFonts w:cs="Arial"/>
                <w:sz w:val="22"/>
                <w:szCs w:val="22"/>
              </w:rPr>
            </w:pPr>
            <w:r>
              <w:rPr>
                <w:rFonts w:cs="Arial"/>
                <w:sz w:val="22"/>
                <w:szCs w:val="22"/>
              </w:rPr>
              <w:t>6</w:t>
            </w:r>
          </w:p>
        </w:tc>
        <w:tc>
          <w:tcPr>
            <w:tcW w:w="10200" w:type="dxa"/>
          </w:tcPr>
          <w:p w14:paraId="3754DB90" w14:textId="77777777" w:rsidR="009F0657" w:rsidRPr="009F0657" w:rsidRDefault="009F0657" w:rsidP="009F0657">
            <w:pPr>
              <w:pStyle w:val="Default"/>
              <w:jc w:val="both"/>
              <w:rPr>
                <w:sz w:val="22"/>
                <w:szCs w:val="22"/>
              </w:rPr>
            </w:pPr>
            <w:r w:rsidRPr="009F0657">
              <w:rPr>
                <w:sz w:val="22"/>
                <w:szCs w:val="22"/>
              </w:rPr>
              <w:t xml:space="preserve">A proposal for a borough wide Leisure, Health and Wellbeing Campus went to Cabinet in July 2017. This report sought Members views on the Campus approach and as a result Cabinet resolved that a Cross Party Working group be established and a further report be presented to Cabinet detailing the findings and recommendations and a resource plan. </w:t>
            </w:r>
          </w:p>
          <w:p w14:paraId="040143A8" w14:textId="77777777" w:rsidR="009F0657" w:rsidRDefault="009F0657" w:rsidP="00120C41">
            <w:pPr>
              <w:jc w:val="both"/>
              <w:rPr>
                <w:rFonts w:cs="Arial"/>
                <w:sz w:val="22"/>
                <w:szCs w:val="22"/>
              </w:rPr>
            </w:pPr>
          </w:p>
        </w:tc>
      </w:tr>
      <w:tr w:rsidR="009F0657" w14:paraId="3F48C209" w14:textId="77777777" w:rsidTr="002F2DD1">
        <w:tc>
          <w:tcPr>
            <w:tcW w:w="461" w:type="dxa"/>
          </w:tcPr>
          <w:p w14:paraId="725FF84C" w14:textId="30959155" w:rsidR="009F0657" w:rsidRDefault="006D1A11" w:rsidP="0059255B">
            <w:pPr>
              <w:jc w:val="both"/>
              <w:rPr>
                <w:rFonts w:cs="Arial"/>
                <w:sz w:val="22"/>
                <w:szCs w:val="22"/>
              </w:rPr>
            </w:pPr>
            <w:r>
              <w:rPr>
                <w:rFonts w:cs="Arial"/>
                <w:sz w:val="22"/>
                <w:szCs w:val="22"/>
              </w:rPr>
              <w:t>7</w:t>
            </w:r>
          </w:p>
        </w:tc>
        <w:tc>
          <w:tcPr>
            <w:tcW w:w="10200" w:type="dxa"/>
          </w:tcPr>
          <w:p w14:paraId="6560D4C0" w14:textId="38FD20BE" w:rsidR="009F0657" w:rsidRDefault="009F0657" w:rsidP="009F0657">
            <w:pPr>
              <w:pStyle w:val="Default"/>
              <w:jc w:val="both"/>
              <w:rPr>
                <w:sz w:val="22"/>
                <w:szCs w:val="22"/>
              </w:rPr>
            </w:pPr>
            <w:r w:rsidRPr="009F0657">
              <w:rPr>
                <w:sz w:val="22"/>
                <w:szCs w:val="22"/>
              </w:rPr>
              <w:t xml:space="preserve">At the Cabinet meeting of 25th January 2018, the ‘Financial Case for the Health, Leisure and Wellbeing Campus Programme’ report was considered which outlined a proposed 5 year Capital Plan for Health and Wellbeing. A budget of £24.45m was set for Health, Leisure and Wellbeing which included £15m allocated for a new leisure facility. The decision made from that meeting was that </w:t>
            </w:r>
            <w:r w:rsidR="00470B48">
              <w:rPr>
                <w:sz w:val="22"/>
                <w:szCs w:val="22"/>
              </w:rPr>
              <w:t>Council</w:t>
            </w:r>
            <w:r w:rsidRPr="009F0657">
              <w:rPr>
                <w:sz w:val="22"/>
                <w:szCs w:val="22"/>
              </w:rPr>
              <w:t xml:space="preserve"> be recommended to approve the investment programme and that it should be incorporated into the </w:t>
            </w:r>
            <w:r w:rsidR="00470B48">
              <w:rPr>
                <w:sz w:val="22"/>
                <w:szCs w:val="22"/>
              </w:rPr>
              <w:t>Council</w:t>
            </w:r>
            <w:r w:rsidRPr="009F0657">
              <w:rPr>
                <w:sz w:val="22"/>
                <w:szCs w:val="22"/>
              </w:rPr>
              <w:t xml:space="preserve">’s Capital Strategy. The Capital Strategy was then approved at the following </w:t>
            </w:r>
            <w:r w:rsidR="00470B48">
              <w:rPr>
                <w:sz w:val="22"/>
                <w:szCs w:val="22"/>
              </w:rPr>
              <w:t>Council</w:t>
            </w:r>
            <w:r w:rsidRPr="009F0657">
              <w:rPr>
                <w:sz w:val="22"/>
                <w:szCs w:val="22"/>
              </w:rPr>
              <w:t xml:space="preserve"> meeting in February 2018. </w:t>
            </w:r>
          </w:p>
          <w:p w14:paraId="61DDE6BA" w14:textId="18E945EA" w:rsidR="002F2DD1" w:rsidRDefault="002F2DD1" w:rsidP="009F0657">
            <w:pPr>
              <w:pStyle w:val="Default"/>
              <w:jc w:val="both"/>
              <w:rPr>
                <w:sz w:val="22"/>
                <w:szCs w:val="22"/>
              </w:rPr>
            </w:pPr>
          </w:p>
          <w:p w14:paraId="482BDB67" w14:textId="558CDD80" w:rsidR="002F2DD1" w:rsidRDefault="002F2DD1" w:rsidP="009F0657">
            <w:pPr>
              <w:pStyle w:val="Default"/>
              <w:jc w:val="both"/>
              <w:rPr>
                <w:sz w:val="22"/>
                <w:szCs w:val="22"/>
              </w:rPr>
            </w:pPr>
          </w:p>
          <w:p w14:paraId="181A6499" w14:textId="4792070A" w:rsidR="002F2DD1" w:rsidRDefault="002F2DD1" w:rsidP="009F0657">
            <w:pPr>
              <w:pStyle w:val="Default"/>
              <w:jc w:val="both"/>
              <w:rPr>
                <w:sz w:val="22"/>
                <w:szCs w:val="22"/>
              </w:rPr>
            </w:pPr>
          </w:p>
          <w:p w14:paraId="4824F315" w14:textId="77777777" w:rsidR="002F2DD1" w:rsidRPr="009F0657" w:rsidRDefault="002F2DD1" w:rsidP="009F0657">
            <w:pPr>
              <w:pStyle w:val="Default"/>
              <w:jc w:val="both"/>
              <w:rPr>
                <w:sz w:val="22"/>
                <w:szCs w:val="22"/>
              </w:rPr>
            </w:pPr>
          </w:p>
          <w:p w14:paraId="66C56F39" w14:textId="77777777" w:rsidR="009F0657" w:rsidRDefault="009F0657" w:rsidP="00120C41">
            <w:pPr>
              <w:jc w:val="both"/>
              <w:rPr>
                <w:rFonts w:cs="Arial"/>
                <w:sz w:val="22"/>
                <w:szCs w:val="22"/>
              </w:rPr>
            </w:pPr>
          </w:p>
        </w:tc>
      </w:tr>
      <w:tr w:rsidR="00120C41" w14:paraId="1FA61C8F" w14:textId="77777777" w:rsidTr="002F2DD1">
        <w:tc>
          <w:tcPr>
            <w:tcW w:w="461" w:type="dxa"/>
          </w:tcPr>
          <w:p w14:paraId="7B10D53A" w14:textId="77777777" w:rsidR="00120C41" w:rsidRDefault="00120C41" w:rsidP="0059255B">
            <w:pPr>
              <w:jc w:val="both"/>
              <w:rPr>
                <w:rFonts w:cs="Arial"/>
                <w:sz w:val="22"/>
                <w:szCs w:val="22"/>
              </w:rPr>
            </w:pPr>
          </w:p>
        </w:tc>
        <w:tc>
          <w:tcPr>
            <w:tcW w:w="10200" w:type="dxa"/>
          </w:tcPr>
          <w:p w14:paraId="551D9D17" w14:textId="77777777" w:rsidR="00120C41" w:rsidRDefault="00120C41" w:rsidP="00120C41">
            <w:pPr>
              <w:jc w:val="both"/>
              <w:rPr>
                <w:rFonts w:cs="Arial"/>
                <w:sz w:val="22"/>
                <w:szCs w:val="22"/>
              </w:rPr>
            </w:pPr>
          </w:p>
          <w:p w14:paraId="79732BB2" w14:textId="544391B6" w:rsidR="00120C41" w:rsidRDefault="00120C41" w:rsidP="00120C41">
            <w:pPr>
              <w:pStyle w:val="Default"/>
              <w:jc w:val="both"/>
              <w:rPr>
                <w:sz w:val="22"/>
                <w:szCs w:val="22"/>
              </w:rPr>
            </w:pPr>
            <w:r>
              <w:rPr>
                <w:b/>
                <w:bCs/>
                <w:sz w:val="22"/>
                <w:szCs w:val="22"/>
              </w:rPr>
              <w:t xml:space="preserve">Procurement </w:t>
            </w:r>
            <w:r w:rsidR="007F05F2">
              <w:rPr>
                <w:b/>
                <w:bCs/>
                <w:sz w:val="22"/>
                <w:szCs w:val="22"/>
              </w:rPr>
              <w:t>p</w:t>
            </w:r>
            <w:r>
              <w:rPr>
                <w:b/>
                <w:bCs/>
                <w:sz w:val="22"/>
                <w:szCs w:val="22"/>
              </w:rPr>
              <w:t xml:space="preserve">rocess &amp; </w:t>
            </w:r>
            <w:r w:rsidR="007F05F2">
              <w:rPr>
                <w:b/>
                <w:bCs/>
                <w:sz w:val="22"/>
                <w:szCs w:val="22"/>
              </w:rPr>
              <w:t>a</w:t>
            </w:r>
            <w:r>
              <w:rPr>
                <w:b/>
                <w:bCs/>
                <w:sz w:val="22"/>
                <w:szCs w:val="22"/>
              </w:rPr>
              <w:t>ppointment of Faith</w:t>
            </w:r>
            <w:r w:rsidR="00EC09E3">
              <w:rPr>
                <w:b/>
                <w:bCs/>
                <w:sz w:val="22"/>
                <w:szCs w:val="22"/>
              </w:rPr>
              <w:t>ful</w:t>
            </w:r>
            <w:r>
              <w:rPr>
                <w:b/>
                <w:bCs/>
                <w:sz w:val="22"/>
                <w:szCs w:val="22"/>
              </w:rPr>
              <w:t xml:space="preserve"> &amp; Gould </w:t>
            </w:r>
          </w:p>
          <w:p w14:paraId="4FD0FDD1" w14:textId="77777777" w:rsidR="00120C41" w:rsidRPr="002B20D0" w:rsidRDefault="00120C41" w:rsidP="0059255B">
            <w:pPr>
              <w:jc w:val="both"/>
              <w:rPr>
                <w:rFonts w:cs="Arial"/>
                <w:sz w:val="22"/>
                <w:szCs w:val="22"/>
              </w:rPr>
            </w:pPr>
          </w:p>
        </w:tc>
      </w:tr>
      <w:tr w:rsidR="00120C41" w14:paraId="3E3FCB18" w14:textId="77777777" w:rsidTr="002F2DD1">
        <w:tc>
          <w:tcPr>
            <w:tcW w:w="461" w:type="dxa"/>
          </w:tcPr>
          <w:p w14:paraId="542E095E" w14:textId="74F540CB" w:rsidR="00120C41" w:rsidRDefault="006D1A11" w:rsidP="0059255B">
            <w:pPr>
              <w:jc w:val="both"/>
              <w:rPr>
                <w:rFonts w:cs="Arial"/>
                <w:sz w:val="22"/>
                <w:szCs w:val="22"/>
              </w:rPr>
            </w:pPr>
            <w:r>
              <w:rPr>
                <w:rFonts w:cs="Arial"/>
                <w:sz w:val="22"/>
                <w:szCs w:val="22"/>
              </w:rPr>
              <w:t>8</w:t>
            </w:r>
          </w:p>
        </w:tc>
        <w:tc>
          <w:tcPr>
            <w:tcW w:w="10200" w:type="dxa"/>
          </w:tcPr>
          <w:p w14:paraId="64495D61" w14:textId="44FA7424" w:rsidR="00B25680" w:rsidRDefault="009F0657" w:rsidP="00341E06">
            <w:pPr>
              <w:jc w:val="both"/>
              <w:rPr>
                <w:rFonts w:cs="Arial"/>
                <w:iCs/>
                <w:sz w:val="22"/>
                <w:szCs w:val="22"/>
              </w:rPr>
            </w:pPr>
            <w:r>
              <w:rPr>
                <w:rFonts w:cs="Arial"/>
                <w:iCs/>
                <w:sz w:val="22"/>
                <w:szCs w:val="22"/>
              </w:rPr>
              <w:t xml:space="preserve">Following numerous discussions between the Specialist Advisor (for the project) and the </w:t>
            </w:r>
            <w:r w:rsidR="00341E06">
              <w:rPr>
                <w:rFonts w:cs="Arial"/>
                <w:iCs/>
                <w:sz w:val="22"/>
                <w:szCs w:val="22"/>
              </w:rPr>
              <w:t>P</w:t>
            </w:r>
            <w:r>
              <w:rPr>
                <w:rFonts w:cs="Arial"/>
                <w:iCs/>
                <w:sz w:val="22"/>
                <w:szCs w:val="22"/>
              </w:rPr>
              <w:t xml:space="preserve">rincipal </w:t>
            </w:r>
            <w:r w:rsidR="00341E06">
              <w:rPr>
                <w:rFonts w:cs="Arial"/>
                <w:iCs/>
                <w:sz w:val="22"/>
                <w:szCs w:val="22"/>
              </w:rPr>
              <w:t>P</w:t>
            </w:r>
            <w:r>
              <w:rPr>
                <w:rFonts w:cs="Arial"/>
                <w:iCs/>
                <w:sz w:val="22"/>
                <w:szCs w:val="22"/>
              </w:rPr>
              <w:t xml:space="preserve">rocurement </w:t>
            </w:r>
            <w:r w:rsidR="00341E06">
              <w:rPr>
                <w:rFonts w:cs="Arial"/>
                <w:iCs/>
                <w:sz w:val="22"/>
                <w:szCs w:val="22"/>
              </w:rPr>
              <w:t>O</w:t>
            </w:r>
            <w:r>
              <w:rPr>
                <w:rFonts w:cs="Arial"/>
                <w:iCs/>
                <w:sz w:val="22"/>
                <w:szCs w:val="22"/>
              </w:rPr>
              <w:t xml:space="preserve">fficer, </w:t>
            </w:r>
            <w:r w:rsidR="00341E06">
              <w:rPr>
                <w:rFonts w:cs="Arial"/>
                <w:iCs/>
                <w:sz w:val="22"/>
                <w:szCs w:val="22"/>
              </w:rPr>
              <w:t>two direct award frameworks, both of which provided a compliant route to market were identified for the procurement of professional services in construction and premises for the Health and</w:t>
            </w:r>
            <w:r w:rsidR="00CB2D85">
              <w:rPr>
                <w:rFonts w:cs="Arial"/>
                <w:iCs/>
                <w:sz w:val="22"/>
                <w:szCs w:val="22"/>
              </w:rPr>
              <w:t xml:space="preserve"> W</w:t>
            </w:r>
            <w:r w:rsidR="00341E06">
              <w:rPr>
                <w:rFonts w:cs="Arial"/>
                <w:iCs/>
                <w:sz w:val="22"/>
                <w:szCs w:val="22"/>
              </w:rPr>
              <w:t>ell</w:t>
            </w:r>
            <w:r w:rsidR="00CB2D85">
              <w:rPr>
                <w:rFonts w:cs="Arial"/>
                <w:iCs/>
                <w:sz w:val="22"/>
                <w:szCs w:val="22"/>
              </w:rPr>
              <w:t xml:space="preserve"> B</w:t>
            </w:r>
            <w:r w:rsidR="00341E06">
              <w:rPr>
                <w:rFonts w:cs="Arial"/>
                <w:iCs/>
                <w:sz w:val="22"/>
                <w:szCs w:val="22"/>
              </w:rPr>
              <w:t xml:space="preserve">eing Campus project.  </w:t>
            </w:r>
          </w:p>
          <w:p w14:paraId="510FACAB" w14:textId="59011489" w:rsidR="00B25680" w:rsidRDefault="00B25680" w:rsidP="00B25680">
            <w:pPr>
              <w:jc w:val="both"/>
              <w:rPr>
                <w:rFonts w:cs="Arial"/>
                <w:iCs/>
                <w:sz w:val="22"/>
                <w:szCs w:val="22"/>
              </w:rPr>
            </w:pPr>
          </w:p>
          <w:p w14:paraId="78F32560" w14:textId="574653C8" w:rsidR="00341E06" w:rsidRDefault="00341E06" w:rsidP="00341E06">
            <w:pPr>
              <w:spacing w:before="120" w:after="120"/>
              <w:jc w:val="both"/>
              <w:rPr>
                <w:rFonts w:cs="Arial"/>
                <w:sz w:val="22"/>
                <w:szCs w:val="22"/>
                <w:lang w:eastAsia="en-GB"/>
              </w:rPr>
            </w:pPr>
            <w:r>
              <w:rPr>
                <w:rFonts w:cs="Arial"/>
                <w:sz w:val="22"/>
                <w:szCs w:val="22"/>
                <w:lang w:eastAsia="en-GB"/>
              </w:rPr>
              <w:t>A</w:t>
            </w:r>
            <w:r w:rsidRPr="00341E06">
              <w:rPr>
                <w:rFonts w:cs="Arial"/>
                <w:sz w:val="22"/>
                <w:szCs w:val="22"/>
                <w:lang w:eastAsia="en-GB"/>
              </w:rPr>
              <w:t>s part of the procurement process, meetings took place with the Principal Procurement Officer and Specialist Adviser</w:t>
            </w:r>
            <w:r>
              <w:rPr>
                <w:rFonts w:cs="Arial"/>
                <w:sz w:val="22"/>
                <w:szCs w:val="22"/>
                <w:lang w:eastAsia="en-GB"/>
              </w:rPr>
              <w:t xml:space="preserve"> with</w:t>
            </w:r>
            <w:r w:rsidRPr="00341E06">
              <w:rPr>
                <w:rFonts w:cs="Arial"/>
                <w:sz w:val="22"/>
                <w:szCs w:val="22"/>
                <w:lang w:eastAsia="en-GB"/>
              </w:rPr>
              <w:t xml:space="preserve"> both companies provid</w:t>
            </w:r>
            <w:r>
              <w:rPr>
                <w:rFonts w:cs="Arial"/>
                <w:sz w:val="22"/>
                <w:szCs w:val="22"/>
                <w:lang w:eastAsia="en-GB"/>
              </w:rPr>
              <w:t>ing</w:t>
            </w:r>
            <w:r w:rsidRPr="00341E06">
              <w:rPr>
                <w:rFonts w:cs="Arial"/>
                <w:sz w:val="22"/>
                <w:szCs w:val="22"/>
                <w:lang w:eastAsia="en-GB"/>
              </w:rPr>
              <w:t xml:space="preserve"> clarification documents and proposals</w:t>
            </w:r>
            <w:r>
              <w:rPr>
                <w:rFonts w:cs="Arial"/>
                <w:sz w:val="22"/>
                <w:szCs w:val="22"/>
                <w:lang w:eastAsia="en-GB"/>
              </w:rPr>
              <w:t>:</w:t>
            </w:r>
          </w:p>
          <w:p w14:paraId="7BA8D487" w14:textId="6F316962" w:rsidR="00341E06" w:rsidRPr="0047325F" w:rsidRDefault="00341E06" w:rsidP="00341E06">
            <w:pPr>
              <w:pStyle w:val="ListParagraph"/>
              <w:numPr>
                <w:ilvl w:val="0"/>
                <w:numId w:val="6"/>
              </w:numPr>
              <w:jc w:val="both"/>
              <w:rPr>
                <w:rFonts w:cs="Arial"/>
                <w:iCs/>
                <w:sz w:val="22"/>
                <w:szCs w:val="22"/>
              </w:rPr>
            </w:pPr>
            <w:proofErr w:type="spellStart"/>
            <w:r w:rsidRPr="00B25680">
              <w:rPr>
                <w:rFonts w:cs="Arial"/>
                <w:iCs/>
                <w:sz w:val="22"/>
                <w:szCs w:val="22"/>
              </w:rPr>
              <w:t>Pagabo</w:t>
            </w:r>
            <w:proofErr w:type="spellEnd"/>
            <w:r w:rsidRPr="00B25680">
              <w:rPr>
                <w:rFonts w:cs="Arial"/>
                <w:iCs/>
                <w:sz w:val="22"/>
                <w:szCs w:val="22"/>
              </w:rPr>
              <w:t xml:space="preserve"> National Framework for professional services in construction and premises – Lot 1 awarded to Faith</w:t>
            </w:r>
            <w:r w:rsidR="00F06344">
              <w:rPr>
                <w:rFonts w:cs="Arial"/>
                <w:iCs/>
                <w:sz w:val="22"/>
                <w:szCs w:val="22"/>
              </w:rPr>
              <w:t>ful</w:t>
            </w:r>
            <w:r w:rsidRPr="00B25680">
              <w:rPr>
                <w:rFonts w:cs="Arial"/>
                <w:iCs/>
                <w:sz w:val="22"/>
                <w:szCs w:val="22"/>
              </w:rPr>
              <w:t xml:space="preserve"> and Gould</w:t>
            </w:r>
            <w:r w:rsidR="005F1A4C">
              <w:rPr>
                <w:rFonts w:cs="Arial"/>
                <w:iCs/>
                <w:sz w:val="22"/>
                <w:szCs w:val="22"/>
              </w:rPr>
              <w:t xml:space="preserve"> Ltd</w:t>
            </w:r>
            <w:r w:rsidRPr="00B25680">
              <w:rPr>
                <w:rFonts w:cs="Arial"/>
                <w:iCs/>
                <w:sz w:val="22"/>
                <w:szCs w:val="22"/>
              </w:rPr>
              <w:t>;</w:t>
            </w:r>
            <w:r>
              <w:rPr>
                <w:rFonts w:cs="Arial"/>
                <w:iCs/>
                <w:sz w:val="22"/>
                <w:szCs w:val="22"/>
              </w:rPr>
              <w:t xml:space="preserve">  </w:t>
            </w:r>
            <w:r w:rsidRPr="0047325F">
              <w:rPr>
                <w:rFonts w:cs="Arial"/>
                <w:b/>
                <w:bCs/>
                <w:sz w:val="22"/>
                <w:szCs w:val="22"/>
                <w:lang w:eastAsia="en-GB"/>
              </w:rPr>
              <w:t>Fee £1,620,000</w:t>
            </w:r>
          </w:p>
          <w:p w14:paraId="55A4D973" w14:textId="77777777" w:rsidR="0047325F" w:rsidRPr="00B25680" w:rsidRDefault="0047325F" w:rsidP="0047325F">
            <w:pPr>
              <w:pStyle w:val="ListParagraph"/>
              <w:jc w:val="both"/>
              <w:rPr>
                <w:rFonts w:cs="Arial"/>
                <w:iCs/>
                <w:sz w:val="22"/>
                <w:szCs w:val="22"/>
              </w:rPr>
            </w:pPr>
          </w:p>
          <w:p w14:paraId="16EE4578" w14:textId="4DEBBAF9" w:rsidR="00341E06" w:rsidRDefault="00341E06" w:rsidP="00341E06">
            <w:pPr>
              <w:pStyle w:val="ListParagraph"/>
              <w:numPr>
                <w:ilvl w:val="0"/>
                <w:numId w:val="6"/>
              </w:numPr>
              <w:jc w:val="both"/>
              <w:rPr>
                <w:rFonts w:cs="Arial"/>
                <w:iCs/>
                <w:sz w:val="22"/>
                <w:szCs w:val="22"/>
              </w:rPr>
            </w:pPr>
            <w:r w:rsidRPr="00B25680">
              <w:rPr>
                <w:rFonts w:cs="Arial"/>
                <w:iCs/>
                <w:sz w:val="22"/>
                <w:szCs w:val="22"/>
              </w:rPr>
              <w:t xml:space="preserve">Scape Built Environment consultancy services framework – awarded to Perfect Circle.(joint venture between Pick Everard, </w:t>
            </w:r>
            <w:proofErr w:type="spellStart"/>
            <w:r w:rsidRPr="00B25680">
              <w:rPr>
                <w:rFonts w:cs="Arial"/>
                <w:iCs/>
                <w:sz w:val="22"/>
                <w:szCs w:val="22"/>
              </w:rPr>
              <w:t>Gleeds</w:t>
            </w:r>
            <w:proofErr w:type="spellEnd"/>
            <w:r w:rsidRPr="00B25680">
              <w:rPr>
                <w:rFonts w:cs="Arial"/>
                <w:iCs/>
                <w:sz w:val="22"/>
                <w:szCs w:val="22"/>
              </w:rPr>
              <w:t xml:space="preserve"> and </w:t>
            </w:r>
            <w:proofErr w:type="spellStart"/>
            <w:r w:rsidRPr="00B25680">
              <w:rPr>
                <w:rFonts w:cs="Arial"/>
                <w:iCs/>
                <w:sz w:val="22"/>
                <w:szCs w:val="22"/>
              </w:rPr>
              <w:t>Aecom</w:t>
            </w:r>
            <w:proofErr w:type="spellEnd"/>
            <w:r w:rsidRPr="00B25680">
              <w:rPr>
                <w:rFonts w:cs="Arial"/>
                <w:iCs/>
                <w:sz w:val="22"/>
                <w:szCs w:val="22"/>
              </w:rPr>
              <w:t>.</w:t>
            </w:r>
            <w:r>
              <w:rPr>
                <w:rFonts w:cs="Arial"/>
                <w:iCs/>
                <w:sz w:val="22"/>
                <w:szCs w:val="22"/>
              </w:rPr>
              <w:t xml:space="preserve">   </w:t>
            </w:r>
            <w:r w:rsidRPr="0047325F">
              <w:rPr>
                <w:rFonts w:cs="Arial"/>
                <w:b/>
                <w:bCs/>
                <w:sz w:val="22"/>
                <w:szCs w:val="22"/>
                <w:lang w:eastAsia="en-GB"/>
              </w:rPr>
              <w:t>Fee £854,000</w:t>
            </w:r>
            <w:r w:rsidRPr="00341E06">
              <w:rPr>
                <w:rFonts w:cs="Arial"/>
                <w:sz w:val="22"/>
                <w:szCs w:val="22"/>
                <w:lang w:eastAsia="en-GB"/>
              </w:rPr>
              <w:t xml:space="preserve"> </w:t>
            </w:r>
            <w:r>
              <w:rPr>
                <w:rFonts w:cs="Arial"/>
                <w:iCs/>
                <w:sz w:val="22"/>
                <w:szCs w:val="22"/>
              </w:rPr>
              <w:t xml:space="preserve"> </w:t>
            </w:r>
          </w:p>
          <w:p w14:paraId="6770CD01" w14:textId="77777777" w:rsidR="00341E06" w:rsidRDefault="00341E06" w:rsidP="00341E06">
            <w:pPr>
              <w:pStyle w:val="ListParagraph"/>
              <w:jc w:val="both"/>
              <w:rPr>
                <w:rFonts w:cs="Arial"/>
                <w:iCs/>
                <w:sz w:val="22"/>
                <w:szCs w:val="22"/>
              </w:rPr>
            </w:pPr>
          </w:p>
          <w:p w14:paraId="458B977B" w14:textId="77777777" w:rsidR="00120C41" w:rsidRDefault="00120C41" w:rsidP="00120C41">
            <w:pPr>
              <w:jc w:val="both"/>
              <w:rPr>
                <w:rFonts w:cs="Arial"/>
                <w:sz w:val="22"/>
                <w:szCs w:val="22"/>
              </w:rPr>
            </w:pPr>
          </w:p>
          <w:p w14:paraId="052A2E53" w14:textId="7C403058" w:rsidR="00F756B2" w:rsidRDefault="00F756B2" w:rsidP="00120C41">
            <w:pPr>
              <w:jc w:val="both"/>
              <w:rPr>
                <w:rFonts w:cs="Arial"/>
                <w:sz w:val="22"/>
                <w:szCs w:val="22"/>
              </w:rPr>
            </w:pPr>
          </w:p>
        </w:tc>
      </w:tr>
      <w:tr w:rsidR="00120C41" w14:paraId="5139F735" w14:textId="77777777" w:rsidTr="002F2DD1">
        <w:tc>
          <w:tcPr>
            <w:tcW w:w="461" w:type="dxa"/>
          </w:tcPr>
          <w:p w14:paraId="5B507C68" w14:textId="7FC3A08E" w:rsidR="00120C41" w:rsidRDefault="006D1A11" w:rsidP="0059255B">
            <w:pPr>
              <w:jc w:val="both"/>
              <w:rPr>
                <w:rFonts w:cs="Arial"/>
                <w:sz w:val="22"/>
                <w:szCs w:val="22"/>
              </w:rPr>
            </w:pPr>
            <w:r>
              <w:rPr>
                <w:rFonts w:cs="Arial"/>
                <w:sz w:val="22"/>
                <w:szCs w:val="22"/>
              </w:rPr>
              <w:t>9</w:t>
            </w:r>
          </w:p>
        </w:tc>
        <w:tc>
          <w:tcPr>
            <w:tcW w:w="10200" w:type="dxa"/>
          </w:tcPr>
          <w:p w14:paraId="529D2A28" w14:textId="11322A17" w:rsidR="009F0657" w:rsidRDefault="00B651E7" w:rsidP="00B651E7">
            <w:pPr>
              <w:autoSpaceDE w:val="0"/>
              <w:autoSpaceDN w:val="0"/>
              <w:adjustRightInd w:val="0"/>
              <w:rPr>
                <w:rFonts w:ascii="Arial-BoldMT" w:hAnsi="Arial-BoldMT" w:cs="Arial-BoldMT"/>
                <w:sz w:val="22"/>
                <w:szCs w:val="22"/>
                <w:lang w:eastAsia="en-GB"/>
              </w:rPr>
            </w:pPr>
            <w:r>
              <w:rPr>
                <w:rFonts w:ascii="ArialMT" w:hAnsi="ArialMT" w:cs="ArialMT"/>
                <w:sz w:val="22"/>
                <w:szCs w:val="22"/>
                <w:lang w:eastAsia="en-GB"/>
              </w:rPr>
              <w:t xml:space="preserve">Approval of the procurement of the development team via a single source, direct award framework was included in the report to Cabinet in June 2018 </w:t>
            </w:r>
            <w:r w:rsidR="0047325F">
              <w:rPr>
                <w:rFonts w:ascii="ArialMT" w:hAnsi="ArialMT" w:cs="ArialMT"/>
                <w:sz w:val="22"/>
                <w:szCs w:val="22"/>
                <w:lang w:eastAsia="en-GB"/>
              </w:rPr>
              <w:t>- First</w:t>
            </w:r>
            <w:r w:rsidRPr="00B651E7">
              <w:rPr>
                <w:rFonts w:ascii="Arial-BoldMT" w:hAnsi="Arial-BoldMT" w:cs="Arial-BoldMT"/>
                <w:sz w:val="22"/>
                <w:szCs w:val="22"/>
                <w:lang w:eastAsia="en-GB"/>
              </w:rPr>
              <w:t xml:space="preserve"> Phase of Campus Programme</w:t>
            </w:r>
            <w:r>
              <w:rPr>
                <w:rFonts w:ascii="Arial-BoldMT" w:hAnsi="Arial-BoldMT" w:cs="Arial-BoldMT"/>
                <w:sz w:val="22"/>
                <w:szCs w:val="22"/>
                <w:lang w:eastAsia="en-GB"/>
              </w:rPr>
              <w:t>.</w:t>
            </w:r>
          </w:p>
          <w:p w14:paraId="39C18C8E" w14:textId="7D5C224F" w:rsidR="00B651E7" w:rsidRDefault="00B651E7" w:rsidP="00B651E7">
            <w:pPr>
              <w:autoSpaceDE w:val="0"/>
              <w:autoSpaceDN w:val="0"/>
              <w:adjustRightInd w:val="0"/>
              <w:rPr>
                <w:rFonts w:cs="Arial"/>
                <w:sz w:val="22"/>
                <w:szCs w:val="22"/>
              </w:rPr>
            </w:pPr>
          </w:p>
        </w:tc>
      </w:tr>
      <w:tr w:rsidR="00B651E7" w14:paraId="5592A363" w14:textId="77777777" w:rsidTr="002F2DD1">
        <w:tc>
          <w:tcPr>
            <w:tcW w:w="461" w:type="dxa"/>
          </w:tcPr>
          <w:p w14:paraId="304ABEA2" w14:textId="2BE9F63C" w:rsidR="00B651E7" w:rsidRDefault="006D1A11" w:rsidP="0059255B">
            <w:pPr>
              <w:jc w:val="both"/>
              <w:rPr>
                <w:rFonts w:cs="Arial"/>
                <w:sz w:val="22"/>
                <w:szCs w:val="22"/>
              </w:rPr>
            </w:pPr>
            <w:r>
              <w:rPr>
                <w:rFonts w:cs="Arial"/>
                <w:sz w:val="22"/>
                <w:szCs w:val="22"/>
              </w:rPr>
              <w:t>10</w:t>
            </w:r>
          </w:p>
        </w:tc>
        <w:tc>
          <w:tcPr>
            <w:tcW w:w="10200" w:type="dxa"/>
          </w:tcPr>
          <w:p w14:paraId="0B98F91C" w14:textId="193BF634" w:rsidR="006D1A11" w:rsidRDefault="00B651E7" w:rsidP="006D1A11">
            <w:pPr>
              <w:rPr>
                <w:sz w:val="22"/>
                <w:szCs w:val="22"/>
              </w:rPr>
            </w:pPr>
            <w:r w:rsidRPr="006D1A11">
              <w:rPr>
                <w:sz w:val="22"/>
                <w:szCs w:val="22"/>
              </w:rPr>
              <w:t xml:space="preserve">Paragraph 31.5 of the </w:t>
            </w:r>
            <w:r w:rsidR="00470B48" w:rsidRPr="006D1A11">
              <w:rPr>
                <w:sz w:val="22"/>
                <w:szCs w:val="22"/>
              </w:rPr>
              <w:t>Council</w:t>
            </w:r>
            <w:r w:rsidRPr="006D1A11">
              <w:rPr>
                <w:sz w:val="22"/>
                <w:szCs w:val="22"/>
              </w:rPr>
              <w:t>’s Contract Procedure Rules refers to Framework Agreements and states</w:t>
            </w:r>
            <w:r w:rsidR="00BC3F76">
              <w:rPr>
                <w:sz w:val="22"/>
                <w:szCs w:val="22"/>
              </w:rPr>
              <w:t>:</w:t>
            </w:r>
          </w:p>
          <w:p w14:paraId="2C60F3BF" w14:textId="77777777" w:rsidR="00BC3F76" w:rsidRDefault="00BC3F76" w:rsidP="006D1A11">
            <w:pPr>
              <w:rPr>
                <w:sz w:val="22"/>
                <w:szCs w:val="22"/>
              </w:rPr>
            </w:pPr>
          </w:p>
          <w:p w14:paraId="788E06A5" w14:textId="7BA1DC9A" w:rsidR="00B651E7" w:rsidRPr="006D1A11" w:rsidRDefault="00B651E7" w:rsidP="006D1A11">
            <w:pPr>
              <w:rPr>
                <w:b/>
                <w:bCs/>
                <w:i/>
                <w:iCs/>
                <w:sz w:val="22"/>
                <w:szCs w:val="22"/>
              </w:rPr>
            </w:pPr>
            <w:r w:rsidRPr="006D1A11">
              <w:rPr>
                <w:sz w:val="22"/>
                <w:szCs w:val="22"/>
              </w:rPr>
              <w:t xml:space="preserve"> “</w:t>
            </w:r>
            <w:r w:rsidRPr="006D1A11">
              <w:rPr>
                <w:b/>
                <w:bCs/>
                <w:i/>
                <w:iCs/>
                <w:sz w:val="22"/>
                <w:szCs w:val="22"/>
              </w:rPr>
              <w:t xml:space="preserve">Where a public sector framework is used in accordance with the above provisions, without entering into a full, separate procurement process, all other relevant aspects of these procurement rules will still apply, including any approval which may be required for the procurement award procedure (in this case to use the identified framework), approval for the evaluation criteria and weightings (in the event of a further competition under the framework), and approval for the contract award prior to contract acceptance”. </w:t>
            </w:r>
          </w:p>
          <w:p w14:paraId="3E802831" w14:textId="50DE3B19" w:rsidR="006D1A11" w:rsidRPr="006D1A11" w:rsidRDefault="006D1A11" w:rsidP="006D1A11">
            <w:pPr>
              <w:rPr>
                <w:sz w:val="22"/>
                <w:szCs w:val="22"/>
              </w:rPr>
            </w:pPr>
          </w:p>
        </w:tc>
      </w:tr>
      <w:tr w:rsidR="008D6A5D" w14:paraId="40F36160" w14:textId="77777777" w:rsidTr="002F2DD1">
        <w:tc>
          <w:tcPr>
            <w:tcW w:w="461" w:type="dxa"/>
          </w:tcPr>
          <w:p w14:paraId="78C072C6" w14:textId="4293B6DC" w:rsidR="008D6A5D" w:rsidRDefault="006D1A11" w:rsidP="008D6A5D">
            <w:pPr>
              <w:jc w:val="both"/>
              <w:rPr>
                <w:rFonts w:cs="Arial"/>
                <w:sz w:val="22"/>
                <w:szCs w:val="22"/>
              </w:rPr>
            </w:pPr>
            <w:r>
              <w:rPr>
                <w:rFonts w:cs="Arial"/>
                <w:sz w:val="22"/>
                <w:szCs w:val="22"/>
              </w:rPr>
              <w:t>11</w:t>
            </w:r>
          </w:p>
        </w:tc>
        <w:tc>
          <w:tcPr>
            <w:tcW w:w="10200" w:type="dxa"/>
          </w:tcPr>
          <w:p w14:paraId="2A850F76" w14:textId="74C3FF05" w:rsidR="008D6A5D" w:rsidRPr="00CC05A7" w:rsidRDefault="006D1A11" w:rsidP="008D6A5D">
            <w:pPr>
              <w:jc w:val="both"/>
              <w:rPr>
                <w:sz w:val="22"/>
                <w:szCs w:val="22"/>
              </w:rPr>
            </w:pPr>
            <w:r>
              <w:rPr>
                <w:rFonts w:cs="Arial"/>
                <w:sz w:val="22"/>
                <w:szCs w:val="22"/>
              </w:rPr>
              <w:t>A</w:t>
            </w:r>
            <w:r w:rsidR="008D6A5D">
              <w:rPr>
                <w:rFonts w:cs="Arial"/>
                <w:sz w:val="22"/>
                <w:szCs w:val="22"/>
              </w:rPr>
              <w:t xml:space="preserve">dvice from the Principal Procurement Officer and the Monitoring Officer confirmed that in the next report to Cabinet, </w:t>
            </w:r>
            <w:r w:rsidR="008D6A5D" w:rsidRPr="00CC05A7">
              <w:rPr>
                <w:sz w:val="22"/>
                <w:szCs w:val="22"/>
              </w:rPr>
              <w:t xml:space="preserve">Members could be updated with details of which framework was chosen and why. </w:t>
            </w:r>
          </w:p>
          <w:p w14:paraId="0A001A08" w14:textId="77777777" w:rsidR="008D6A5D" w:rsidRDefault="008D6A5D" w:rsidP="008D6A5D">
            <w:pPr>
              <w:jc w:val="both"/>
              <w:rPr>
                <w:rFonts w:cs="Arial"/>
                <w:sz w:val="22"/>
                <w:szCs w:val="22"/>
              </w:rPr>
            </w:pPr>
          </w:p>
        </w:tc>
      </w:tr>
      <w:tr w:rsidR="008D6A5D" w14:paraId="670CD808" w14:textId="77777777" w:rsidTr="002F2DD1">
        <w:tc>
          <w:tcPr>
            <w:tcW w:w="461" w:type="dxa"/>
          </w:tcPr>
          <w:p w14:paraId="591D9CC1" w14:textId="191D6650" w:rsidR="008D6A5D" w:rsidRDefault="006D1A11" w:rsidP="008D6A5D">
            <w:pPr>
              <w:jc w:val="both"/>
              <w:rPr>
                <w:rFonts w:cs="Arial"/>
                <w:sz w:val="22"/>
                <w:szCs w:val="22"/>
              </w:rPr>
            </w:pPr>
            <w:r>
              <w:rPr>
                <w:rFonts w:cs="Arial"/>
                <w:sz w:val="22"/>
                <w:szCs w:val="22"/>
              </w:rPr>
              <w:t>12</w:t>
            </w:r>
          </w:p>
        </w:tc>
        <w:tc>
          <w:tcPr>
            <w:tcW w:w="10200" w:type="dxa"/>
          </w:tcPr>
          <w:p w14:paraId="31415B5E" w14:textId="707012EE" w:rsidR="008D6A5D" w:rsidRDefault="008D6A5D" w:rsidP="008D6A5D">
            <w:pPr>
              <w:jc w:val="both"/>
              <w:rPr>
                <w:rFonts w:cs="Arial"/>
                <w:sz w:val="22"/>
                <w:szCs w:val="22"/>
              </w:rPr>
            </w:pPr>
            <w:r>
              <w:rPr>
                <w:rFonts w:cs="Arial"/>
                <w:sz w:val="22"/>
                <w:szCs w:val="22"/>
              </w:rPr>
              <w:t>Following a thorough assessment of all the documentation and interview notes from the initial review, it is clear that a comprehensive, documented evaluation of the two frameworks was not developed and considered by officers involved in the project.</w:t>
            </w:r>
          </w:p>
          <w:p w14:paraId="60137F70" w14:textId="470BF84C" w:rsidR="008D6A5D" w:rsidRDefault="008D6A5D" w:rsidP="008D6A5D">
            <w:pPr>
              <w:jc w:val="both"/>
              <w:rPr>
                <w:rFonts w:cs="Arial"/>
                <w:sz w:val="22"/>
                <w:szCs w:val="22"/>
              </w:rPr>
            </w:pPr>
          </w:p>
        </w:tc>
      </w:tr>
      <w:tr w:rsidR="008D6A5D" w14:paraId="5C1254B9" w14:textId="77777777" w:rsidTr="002F2DD1">
        <w:tc>
          <w:tcPr>
            <w:tcW w:w="461" w:type="dxa"/>
          </w:tcPr>
          <w:p w14:paraId="0A4D9E65" w14:textId="22E76DF4" w:rsidR="008D6A5D" w:rsidRDefault="006D1A11" w:rsidP="008D6A5D">
            <w:pPr>
              <w:jc w:val="both"/>
              <w:rPr>
                <w:rFonts w:cs="Arial"/>
                <w:sz w:val="22"/>
                <w:szCs w:val="22"/>
              </w:rPr>
            </w:pPr>
            <w:r>
              <w:rPr>
                <w:rFonts w:cs="Arial"/>
                <w:sz w:val="22"/>
                <w:szCs w:val="22"/>
              </w:rPr>
              <w:t>13</w:t>
            </w:r>
          </w:p>
        </w:tc>
        <w:tc>
          <w:tcPr>
            <w:tcW w:w="10200" w:type="dxa"/>
          </w:tcPr>
          <w:p w14:paraId="3C960D36" w14:textId="2371FA1E" w:rsidR="008D6A5D" w:rsidRDefault="008D6A5D" w:rsidP="008D6A5D">
            <w:pPr>
              <w:pStyle w:val="Default"/>
              <w:jc w:val="both"/>
              <w:rPr>
                <w:color w:val="auto"/>
                <w:sz w:val="22"/>
                <w:szCs w:val="22"/>
              </w:rPr>
            </w:pPr>
            <w:r w:rsidRPr="0000750C">
              <w:rPr>
                <w:sz w:val="22"/>
                <w:szCs w:val="22"/>
              </w:rPr>
              <w:t xml:space="preserve">The next report was taken to Cabinet 12th September 2018 seeking approval to enter into a contract with Faithful and Gould Ltd. via the PAGABO Framework on the basis that the </w:t>
            </w:r>
            <w:r w:rsidRPr="00E41CE8">
              <w:rPr>
                <w:color w:val="auto"/>
                <w:sz w:val="22"/>
                <w:szCs w:val="22"/>
              </w:rPr>
              <w:t xml:space="preserve">final proposal fee did not exceed £1.8m.  This sum was based upon the percentage of the total build cost at industry standard between 10-12%.   Whilst the report gave a written commentary of the reasons why the PAGABO framework had been selected, it did not contain comprehensive evaluation details. </w:t>
            </w:r>
          </w:p>
          <w:p w14:paraId="66950785" w14:textId="77777777" w:rsidR="006D1A11" w:rsidRPr="00E41CE8" w:rsidRDefault="006D1A11" w:rsidP="008D6A5D">
            <w:pPr>
              <w:pStyle w:val="Default"/>
              <w:jc w:val="both"/>
              <w:rPr>
                <w:color w:val="auto"/>
                <w:sz w:val="22"/>
                <w:szCs w:val="22"/>
              </w:rPr>
            </w:pPr>
          </w:p>
          <w:p w14:paraId="4FC02A3F" w14:textId="71CC63F8" w:rsidR="008D6A5D" w:rsidRDefault="0047325F" w:rsidP="008D6A5D">
            <w:pPr>
              <w:jc w:val="both"/>
              <w:rPr>
                <w:rFonts w:cs="Arial"/>
                <w:iCs/>
                <w:sz w:val="22"/>
                <w:szCs w:val="22"/>
              </w:rPr>
            </w:pPr>
            <w:r>
              <w:rPr>
                <w:rFonts w:cs="Arial"/>
                <w:iCs/>
                <w:sz w:val="22"/>
                <w:szCs w:val="22"/>
              </w:rPr>
              <w:t>In addition, t</w:t>
            </w:r>
            <w:r w:rsidR="008D6A5D">
              <w:rPr>
                <w:rFonts w:cs="Arial"/>
                <w:iCs/>
                <w:sz w:val="22"/>
                <w:szCs w:val="22"/>
              </w:rPr>
              <w:t xml:space="preserve">he report did not contain sufficient detail regarding the professional fees outlined under each framework. The indicative fees outlined in the original proposals differed significantly with the </w:t>
            </w:r>
            <w:proofErr w:type="spellStart"/>
            <w:r w:rsidR="008D6A5D">
              <w:rPr>
                <w:rFonts w:cs="Arial"/>
                <w:iCs/>
                <w:sz w:val="22"/>
                <w:szCs w:val="22"/>
              </w:rPr>
              <w:t>Pagabo</w:t>
            </w:r>
            <w:proofErr w:type="spellEnd"/>
            <w:r w:rsidR="008D6A5D">
              <w:rPr>
                <w:rFonts w:cs="Arial"/>
                <w:iCs/>
                <w:sz w:val="22"/>
                <w:szCs w:val="22"/>
              </w:rPr>
              <w:t xml:space="preserve"> framework/Faith</w:t>
            </w:r>
            <w:r w:rsidR="005F1A4C">
              <w:rPr>
                <w:rFonts w:cs="Arial"/>
                <w:iCs/>
                <w:sz w:val="22"/>
                <w:szCs w:val="22"/>
              </w:rPr>
              <w:t>ful</w:t>
            </w:r>
            <w:r w:rsidR="008D6A5D">
              <w:rPr>
                <w:rFonts w:cs="Arial"/>
                <w:iCs/>
                <w:sz w:val="22"/>
                <w:szCs w:val="22"/>
              </w:rPr>
              <w:t xml:space="preserve"> &amp; Gould</w:t>
            </w:r>
            <w:r w:rsidR="005F1A4C">
              <w:rPr>
                <w:rFonts w:cs="Arial"/>
                <w:iCs/>
                <w:sz w:val="22"/>
                <w:szCs w:val="22"/>
              </w:rPr>
              <w:t xml:space="preserve"> Ltd</w:t>
            </w:r>
            <w:r w:rsidR="008D6A5D">
              <w:rPr>
                <w:rFonts w:cs="Arial"/>
                <w:iCs/>
                <w:sz w:val="22"/>
                <w:szCs w:val="22"/>
              </w:rPr>
              <w:t xml:space="preserve"> proposal exceeding the SCAPE framework by approximately £800,000.</w:t>
            </w:r>
          </w:p>
          <w:p w14:paraId="1A218922" w14:textId="77777777" w:rsidR="008D6A5D" w:rsidRDefault="008D6A5D" w:rsidP="008D6A5D">
            <w:pPr>
              <w:jc w:val="both"/>
              <w:rPr>
                <w:rFonts w:cs="Arial"/>
                <w:iCs/>
                <w:sz w:val="22"/>
                <w:szCs w:val="22"/>
              </w:rPr>
            </w:pPr>
          </w:p>
          <w:p w14:paraId="6AA4AFF9" w14:textId="77777777" w:rsidR="008D6A5D" w:rsidRDefault="008D6A5D" w:rsidP="006D1A11">
            <w:pPr>
              <w:pStyle w:val="Default"/>
              <w:jc w:val="both"/>
              <w:rPr>
                <w:sz w:val="22"/>
                <w:szCs w:val="22"/>
              </w:rPr>
            </w:pPr>
            <w:r w:rsidRPr="0000750C">
              <w:rPr>
                <w:sz w:val="22"/>
                <w:szCs w:val="22"/>
              </w:rPr>
              <w:t xml:space="preserve">The minutes of this Cabinet meeting show that </w:t>
            </w:r>
            <w:r w:rsidR="00470B48">
              <w:rPr>
                <w:sz w:val="22"/>
                <w:szCs w:val="22"/>
              </w:rPr>
              <w:t>Council</w:t>
            </w:r>
            <w:r w:rsidRPr="0000750C">
              <w:rPr>
                <w:sz w:val="22"/>
                <w:szCs w:val="22"/>
              </w:rPr>
              <w:t xml:space="preserve">lor P Foster queried the lack of detail provided in the report and requested that the decision be deferred. The recommendation was however, supported, but this decision was later called in at Scrutiny Committee on 27th September 2018. </w:t>
            </w:r>
          </w:p>
          <w:p w14:paraId="5EC23905" w14:textId="173F18BC" w:rsidR="00F756B2" w:rsidRDefault="00F756B2" w:rsidP="006D1A11">
            <w:pPr>
              <w:pStyle w:val="Default"/>
              <w:jc w:val="both"/>
              <w:rPr>
                <w:sz w:val="22"/>
                <w:szCs w:val="22"/>
              </w:rPr>
            </w:pPr>
          </w:p>
        </w:tc>
      </w:tr>
      <w:tr w:rsidR="008D6A5D" w14:paraId="12A031D5" w14:textId="77777777" w:rsidTr="002F2DD1">
        <w:tc>
          <w:tcPr>
            <w:tcW w:w="461" w:type="dxa"/>
          </w:tcPr>
          <w:p w14:paraId="2F99654F" w14:textId="7DC88D3F" w:rsidR="008D6A5D" w:rsidRDefault="006D1A11" w:rsidP="008D6A5D">
            <w:pPr>
              <w:jc w:val="both"/>
              <w:rPr>
                <w:rFonts w:cs="Arial"/>
                <w:sz w:val="22"/>
                <w:szCs w:val="22"/>
              </w:rPr>
            </w:pPr>
            <w:r>
              <w:rPr>
                <w:rFonts w:cs="Arial"/>
                <w:sz w:val="22"/>
                <w:szCs w:val="22"/>
              </w:rPr>
              <w:lastRenderedPageBreak/>
              <w:t>14</w:t>
            </w:r>
          </w:p>
        </w:tc>
        <w:tc>
          <w:tcPr>
            <w:tcW w:w="10200" w:type="dxa"/>
          </w:tcPr>
          <w:p w14:paraId="6F23A589" w14:textId="5871A528" w:rsidR="008D6A5D" w:rsidRPr="00E41CE8" w:rsidRDefault="008D6A5D" w:rsidP="008D6A5D">
            <w:pPr>
              <w:pStyle w:val="Default"/>
              <w:jc w:val="both"/>
              <w:rPr>
                <w:color w:val="000000" w:themeColor="text1"/>
                <w:sz w:val="22"/>
                <w:szCs w:val="22"/>
              </w:rPr>
            </w:pPr>
            <w:r w:rsidRPr="00975174">
              <w:rPr>
                <w:color w:val="000000" w:themeColor="text1"/>
                <w:sz w:val="22"/>
                <w:szCs w:val="22"/>
              </w:rPr>
              <w:t xml:space="preserve">A more detailed report was requested for the next meeting of Cabinet (17/10/18), this report included further information in respect of the governance arrangements and outlined only 1 distinct difference between the two frameworks. Further, some of the reasons for choosing PAGABO, could equally have been reasons for choosing SCAPE. </w:t>
            </w:r>
            <w:r w:rsidR="00E41CE8" w:rsidRPr="00E41CE8">
              <w:rPr>
                <w:sz w:val="22"/>
                <w:szCs w:val="22"/>
              </w:rPr>
              <w:t>There was no comparison made between the services that both frameworks could provide and the reasons also failed to detail the likely fee for the contract award.</w:t>
            </w:r>
          </w:p>
          <w:p w14:paraId="2AD042D2" w14:textId="7F515B2C" w:rsidR="008D6A5D" w:rsidRDefault="008D6A5D" w:rsidP="008D6A5D">
            <w:pPr>
              <w:pStyle w:val="Default"/>
              <w:jc w:val="both"/>
              <w:rPr>
                <w:sz w:val="22"/>
                <w:szCs w:val="22"/>
              </w:rPr>
            </w:pPr>
          </w:p>
        </w:tc>
      </w:tr>
      <w:tr w:rsidR="008D6A5D" w14:paraId="2EE2EF65" w14:textId="77777777" w:rsidTr="002F2DD1">
        <w:tc>
          <w:tcPr>
            <w:tcW w:w="461" w:type="dxa"/>
          </w:tcPr>
          <w:p w14:paraId="34598913" w14:textId="0B282406" w:rsidR="008D6A5D" w:rsidRDefault="00A60D52" w:rsidP="008D6A5D">
            <w:pPr>
              <w:jc w:val="both"/>
              <w:rPr>
                <w:rFonts w:cs="Arial"/>
                <w:sz w:val="22"/>
                <w:szCs w:val="22"/>
              </w:rPr>
            </w:pPr>
            <w:r>
              <w:rPr>
                <w:rFonts w:cs="Arial"/>
                <w:sz w:val="22"/>
                <w:szCs w:val="22"/>
              </w:rPr>
              <w:t>15</w:t>
            </w:r>
          </w:p>
        </w:tc>
        <w:tc>
          <w:tcPr>
            <w:tcW w:w="10200" w:type="dxa"/>
          </w:tcPr>
          <w:p w14:paraId="6724B4A3" w14:textId="7B3BB42A" w:rsidR="008D6A5D" w:rsidRDefault="008D6A5D" w:rsidP="008D6A5D">
            <w:pPr>
              <w:jc w:val="both"/>
              <w:rPr>
                <w:rFonts w:cs="Arial"/>
                <w:sz w:val="22"/>
                <w:szCs w:val="22"/>
              </w:rPr>
            </w:pPr>
            <w:r>
              <w:rPr>
                <w:rFonts w:cs="Arial"/>
                <w:sz w:val="22"/>
                <w:szCs w:val="22"/>
              </w:rPr>
              <w:t xml:space="preserve">The process, as detailed above contains the following weaknesses / </w:t>
            </w:r>
            <w:r w:rsidR="00CB2D85">
              <w:rPr>
                <w:rFonts w:cs="Arial"/>
                <w:sz w:val="22"/>
                <w:szCs w:val="22"/>
              </w:rPr>
              <w:t xml:space="preserve">non-compliance with </w:t>
            </w:r>
            <w:r w:rsidR="0047325F">
              <w:rPr>
                <w:rFonts w:cs="Arial"/>
                <w:sz w:val="22"/>
                <w:szCs w:val="22"/>
              </w:rPr>
              <w:t xml:space="preserve">the Council’s Contract </w:t>
            </w:r>
            <w:r w:rsidR="00CB2D85">
              <w:rPr>
                <w:rFonts w:cs="Arial"/>
                <w:sz w:val="22"/>
                <w:szCs w:val="22"/>
              </w:rPr>
              <w:t>P</w:t>
            </w:r>
            <w:r w:rsidR="0047325F">
              <w:rPr>
                <w:rFonts w:cs="Arial"/>
                <w:sz w:val="22"/>
                <w:szCs w:val="22"/>
              </w:rPr>
              <w:t xml:space="preserve">rocedure </w:t>
            </w:r>
            <w:r w:rsidR="00CB2D85">
              <w:rPr>
                <w:rFonts w:cs="Arial"/>
                <w:sz w:val="22"/>
                <w:szCs w:val="22"/>
              </w:rPr>
              <w:t>R</w:t>
            </w:r>
            <w:r w:rsidR="0047325F">
              <w:rPr>
                <w:rFonts w:cs="Arial"/>
                <w:sz w:val="22"/>
                <w:szCs w:val="22"/>
              </w:rPr>
              <w:t>ules</w:t>
            </w:r>
            <w:r>
              <w:rPr>
                <w:rFonts w:cs="Arial"/>
                <w:sz w:val="22"/>
                <w:szCs w:val="22"/>
              </w:rPr>
              <w:t>:</w:t>
            </w:r>
          </w:p>
          <w:p w14:paraId="65E68F8F" w14:textId="77777777" w:rsidR="008D6A5D" w:rsidRDefault="008D6A5D" w:rsidP="008D6A5D">
            <w:pPr>
              <w:jc w:val="both"/>
              <w:rPr>
                <w:rFonts w:cs="Arial"/>
                <w:sz w:val="22"/>
                <w:szCs w:val="22"/>
              </w:rPr>
            </w:pPr>
          </w:p>
          <w:p w14:paraId="67342B66" w14:textId="4AB9B31E" w:rsidR="008D6A5D" w:rsidRPr="00CB2D85" w:rsidRDefault="008D6A5D" w:rsidP="00CB2D85">
            <w:pPr>
              <w:pStyle w:val="ListParagraph"/>
              <w:numPr>
                <w:ilvl w:val="0"/>
                <w:numId w:val="18"/>
              </w:numPr>
              <w:jc w:val="both"/>
              <w:rPr>
                <w:sz w:val="22"/>
                <w:szCs w:val="22"/>
              </w:rPr>
            </w:pPr>
            <w:r w:rsidRPr="00CB2D85">
              <w:rPr>
                <w:rFonts w:cs="Arial"/>
                <w:sz w:val="22"/>
                <w:szCs w:val="22"/>
              </w:rPr>
              <w:t xml:space="preserve">One of the main purposes of the CPRs is “to obtain Best Value in the way the </w:t>
            </w:r>
            <w:r w:rsidR="00470B48">
              <w:rPr>
                <w:rFonts w:cs="Arial"/>
                <w:sz w:val="22"/>
                <w:szCs w:val="22"/>
              </w:rPr>
              <w:t>Council</w:t>
            </w:r>
            <w:r w:rsidRPr="00CB2D85">
              <w:rPr>
                <w:rFonts w:cs="Arial"/>
                <w:sz w:val="22"/>
                <w:szCs w:val="22"/>
              </w:rPr>
              <w:t xml:space="preserve"> spends money, so that in turn it offers better and more cost-effective services to the public.”  The process above, has failed to comply with the requirement as there is a lack of evidence / failure to produce a documented evaluation to support that the </w:t>
            </w:r>
            <w:r w:rsidR="00470B48">
              <w:rPr>
                <w:rFonts w:cs="Arial"/>
                <w:sz w:val="22"/>
                <w:szCs w:val="22"/>
              </w:rPr>
              <w:t>Council</w:t>
            </w:r>
            <w:r w:rsidRPr="00CB2D85">
              <w:rPr>
                <w:rFonts w:cs="Arial"/>
                <w:sz w:val="22"/>
                <w:szCs w:val="22"/>
              </w:rPr>
              <w:t xml:space="preserve"> obtained the best value with this exercise.  </w:t>
            </w:r>
            <w:r w:rsidRPr="00CB2D85">
              <w:rPr>
                <w:sz w:val="22"/>
                <w:szCs w:val="22"/>
              </w:rPr>
              <w:t xml:space="preserve">This requirement is fundamental in adhering to Contract Procedure Rules and especially since at £1.8m, this contract was for a significant value. Even after further detail was requested as a result of a Scrutiny Committee decision, the extra detail that was provided was not an evaluation of the two frameworks. </w:t>
            </w:r>
          </w:p>
          <w:p w14:paraId="2BA4B087" w14:textId="33BE75C8" w:rsidR="008D6A5D" w:rsidRDefault="008D6A5D" w:rsidP="008D6A5D">
            <w:pPr>
              <w:jc w:val="both"/>
              <w:rPr>
                <w:sz w:val="22"/>
                <w:szCs w:val="22"/>
              </w:rPr>
            </w:pPr>
          </w:p>
          <w:p w14:paraId="6E6934A0" w14:textId="34051A60" w:rsidR="008D6A5D" w:rsidRDefault="008D6A5D" w:rsidP="00CB2D85">
            <w:pPr>
              <w:pStyle w:val="Heading2"/>
              <w:numPr>
                <w:ilvl w:val="0"/>
                <w:numId w:val="18"/>
              </w:numPr>
              <w:tabs>
                <w:tab w:val="left" w:pos="709"/>
                <w:tab w:val="left" w:pos="1418"/>
                <w:tab w:val="left" w:pos="2127"/>
                <w:tab w:val="left" w:pos="2835"/>
                <w:tab w:val="left" w:pos="3544"/>
                <w:tab w:val="left" w:pos="4253"/>
              </w:tabs>
              <w:jc w:val="both"/>
              <w:rPr>
                <w:rFonts w:ascii="Arial" w:hAnsi="Arial" w:cs="Arial"/>
                <w:color w:val="auto"/>
                <w:sz w:val="22"/>
                <w:szCs w:val="22"/>
              </w:rPr>
            </w:pPr>
            <w:r w:rsidRPr="00CB2D85">
              <w:rPr>
                <w:rFonts w:ascii="Arial" w:hAnsi="Arial" w:cs="Arial"/>
                <w:color w:val="auto"/>
                <w:sz w:val="22"/>
                <w:szCs w:val="22"/>
              </w:rPr>
              <w:t xml:space="preserve">CPRs state that “Effective audit trails must be maintained at all stages throughout the procurement procedure, particularly when approval or agreement is required and at evaluation/decision making stages.”  As highlighted above, the </w:t>
            </w:r>
            <w:r w:rsidR="00470B48">
              <w:rPr>
                <w:rFonts w:ascii="Arial" w:hAnsi="Arial" w:cs="Arial"/>
                <w:color w:val="auto"/>
                <w:sz w:val="22"/>
                <w:szCs w:val="22"/>
              </w:rPr>
              <w:t>Council</w:t>
            </w:r>
            <w:r w:rsidRPr="00CB2D85">
              <w:rPr>
                <w:rFonts w:ascii="Arial" w:hAnsi="Arial" w:cs="Arial"/>
                <w:color w:val="auto"/>
                <w:sz w:val="22"/>
                <w:szCs w:val="22"/>
              </w:rPr>
              <w:t xml:space="preserve"> is unable to provide details of the reasoning behind why one framework was </w:t>
            </w:r>
            <w:r w:rsidR="0047325F">
              <w:rPr>
                <w:rFonts w:ascii="Arial" w:hAnsi="Arial" w:cs="Arial"/>
                <w:color w:val="auto"/>
                <w:sz w:val="22"/>
                <w:szCs w:val="22"/>
              </w:rPr>
              <w:t>recommended t</w:t>
            </w:r>
            <w:r w:rsidRPr="00CB2D85">
              <w:rPr>
                <w:rFonts w:ascii="Arial" w:hAnsi="Arial" w:cs="Arial"/>
                <w:color w:val="auto"/>
                <w:sz w:val="22"/>
                <w:szCs w:val="22"/>
              </w:rPr>
              <w:t>o members as being the best option.</w:t>
            </w:r>
          </w:p>
          <w:p w14:paraId="69EC721F" w14:textId="52C9CAA4" w:rsidR="008D6A5D" w:rsidRDefault="008D6A5D" w:rsidP="008D6A5D">
            <w:pPr>
              <w:jc w:val="both"/>
              <w:rPr>
                <w:rFonts w:cs="Arial"/>
                <w:sz w:val="22"/>
                <w:szCs w:val="22"/>
              </w:rPr>
            </w:pPr>
          </w:p>
        </w:tc>
      </w:tr>
      <w:tr w:rsidR="008D6A5D" w14:paraId="16E432DB" w14:textId="77777777" w:rsidTr="002F2DD1">
        <w:tc>
          <w:tcPr>
            <w:tcW w:w="461" w:type="dxa"/>
          </w:tcPr>
          <w:p w14:paraId="1366EC2B" w14:textId="77777777" w:rsidR="008D6A5D" w:rsidRDefault="008D6A5D" w:rsidP="008D6A5D">
            <w:pPr>
              <w:jc w:val="both"/>
              <w:rPr>
                <w:rFonts w:cs="Arial"/>
                <w:sz w:val="22"/>
                <w:szCs w:val="22"/>
              </w:rPr>
            </w:pPr>
          </w:p>
        </w:tc>
        <w:tc>
          <w:tcPr>
            <w:tcW w:w="10200" w:type="dxa"/>
          </w:tcPr>
          <w:tbl>
            <w:tblPr>
              <w:tblW w:w="0" w:type="auto"/>
              <w:tblBorders>
                <w:top w:val="nil"/>
                <w:left w:val="nil"/>
                <w:bottom w:val="nil"/>
                <w:right w:val="nil"/>
              </w:tblBorders>
              <w:tblLook w:val="0000" w:firstRow="0" w:lastRow="0" w:firstColumn="0" w:lastColumn="0" w:noHBand="0" w:noVBand="0"/>
            </w:tblPr>
            <w:tblGrid>
              <w:gridCol w:w="9250"/>
            </w:tblGrid>
            <w:tr w:rsidR="008D6A5D" w:rsidRPr="00FA1897" w14:paraId="1D603411" w14:textId="77777777">
              <w:trPr>
                <w:trHeight w:val="93"/>
              </w:trPr>
              <w:tc>
                <w:tcPr>
                  <w:tcW w:w="0" w:type="auto"/>
                </w:tcPr>
                <w:p w14:paraId="43F32E03" w14:textId="29E588BE" w:rsidR="008D6A5D" w:rsidRPr="00FA1897" w:rsidRDefault="008D6A5D" w:rsidP="008D6A5D">
                  <w:pPr>
                    <w:autoSpaceDE w:val="0"/>
                    <w:autoSpaceDN w:val="0"/>
                    <w:adjustRightInd w:val="0"/>
                    <w:ind w:left="-124"/>
                    <w:rPr>
                      <w:rFonts w:cs="Arial"/>
                      <w:b/>
                      <w:bCs/>
                      <w:color w:val="000000"/>
                      <w:sz w:val="22"/>
                      <w:szCs w:val="22"/>
                      <w:lang w:eastAsia="en-GB"/>
                    </w:rPr>
                  </w:pPr>
                  <w:r w:rsidRPr="00FA1897">
                    <w:rPr>
                      <w:rFonts w:cs="Arial"/>
                      <w:b/>
                      <w:bCs/>
                      <w:color w:val="000000"/>
                      <w:sz w:val="22"/>
                      <w:szCs w:val="22"/>
                      <w:lang w:eastAsia="en-GB"/>
                    </w:rPr>
                    <w:t>Determine if effective governance arrangements were in place in respect of the project</w:t>
                  </w:r>
                </w:p>
                <w:p w14:paraId="63390420" w14:textId="77777777" w:rsidR="008D6A5D" w:rsidRPr="00FA1897" w:rsidRDefault="008D6A5D" w:rsidP="008D6A5D">
                  <w:pPr>
                    <w:autoSpaceDE w:val="0"/>
                    <w:autoSpaceDN w:val="0"/>
                    <w:adjustRightInd w:val="0"/>
                    <w:ind w:left="-124"/>
                    <w:rPr>
                      <w:rFonts w:cs="Arial"/>
                      <w:b/>
                      <w:bCs/>
                      <w:color w:val="000000"/>
                      <w:sz w:val="22"/>
                      <w:szCs w:val="22"/>
                      <w:lang w:eastAsia="en-GB"/>
                    </w:rPr>
                  </w:pPr>
                </w:p>
              </w:tc>
            </w:tr>
          </w:tbl>
          <w:p w14:paraId="6E7EF0AE" w14:textId="77777777" w:rsidR="008D6A5D" w:rsidRDefault="008D6A5D" w:rsidP="008D6A5D">
            <w:pPr>
              <w:jc w:val="both"/>
              <w:rPr>
                <w:rFonts w:cs="Arial"/>
                <w:sz w:val="22"/>
                <w:szCs w:val="22"/>
              </w:rPr>
            </w:pPr>
          </w:p>
        </w:tc>
      </w:tr>
      <w:tr w:rsidR="008D6A5D" w14:paraId="2F594D91" w14:textId="77777777" w:rsidTr="002F2DD1">
        <w:tc>
          <w:tcPr>
            <w:tcW w:w="461" w:type="dxa"/>
          </w:tcPr>
          <w:p w14:paraId="7B4E5A9D" w14:textId="360FCA41" w:rsidR="008D6A5D" w:rsidRDefault="00A60D52" w:rsidP="008D6A5D">
            <w:pPr>
              <w:jc w:val="both"/>
              <w:rPr>
                <w:rFonts w:cs="Arial"/>
                <w:sz w:val="22"/>
                <w:szCs w:val="22"/>
              </w:rPr>
            </w:pPr>
            <w:r>
              <w:rPr>
                <w:rFonts w:cs="Arial"/>
                <w:sz w:val="22"/>
                <w:szCs w:val="22"/>
              </w:rPr>
              <w:t>16</w:t>
            </w:r>
          </w:p>
        </w:tc>
        <w:tc>
          <w:tcPr>
            <w:tcW w:w="10200" w:type="dxa"/>
          </w:tcPr>
          <w:p w14:paraId="0EDBEFB4" w14:textId="716B4E8C" w:rsidR="008D6A5D" w:rsidRDefault="008D6A5D" w:rsidP="008D6A5D">
            <w:pPr>
              <w:pStyle w:val="Default"/>
              <w:ind w:left="-18" w:hanging="142"/>
              <w:jc w:val="both"/>
              <w:rPr>
                <w:sz w:val="22"/>
                <w:szCs w:val="22"/>
              </w:rPr>
            </w:pPr>
            <w:r w:rsidRPr="00640069">
              <w:rPr>
                <w:sz w:val="22"/>
                <w:szCs w:val="22"/>
              </w:rPr>
              <w:t xml:space="preserve"> </w:t>
            </w:r>
            <w:r>
              <w:rPr>
                <w:sz w:val="22"/>
                <w:szCs w:val="22"/>
              </w:rPr>
              <w:t xml:space="preserve"> The report to Cabinet in October 2018 contained details of the governance arrangements for the project, as detailed below: </w:t>
            </w:r>
          </w:p>
          <w:p w14:paraId="5289A9DB" w14:textId="0646156C" w:rsidR="008D6A5D" w:rsidRDefault="008D6A5D" w:rsidP="008D6A5D">
            <w:pPr>
              <w:pStyle w:val="Default"/>
              <w:jc w:val="both"/>
              <w:rPr>
                <w:sz w:val="22"/>
                <w:szCs w:val="22"/>
              </w:rPr>
            </w:pPr>
          </w:p>
          <w:p w14:paraId="09D5AC33" w14:textId="2737AA42" w:rsidR="008D6A5D" w:rsidRDefault="008D6A5D" w:rsidP="008D6A5D">
            <w:pPr>
              <w:pStyle w:val="ListParagraph"/>
              <w:numPr>
                <w:ilvl w:val="0"/>
                <w:numId w:val="11"/>
              </w:numPr>
              <w:autoSpaceDE w:val="0"/>
              <w:autoSpaceDN w:val="0"/>
              <w:adjustRightInd w:val="0"/>
              <w:rPr>
                <w:rFonts w:cs="Arial"/>
                <w:sz w:val="22"/>
                <w:szCs w:val="22"/>
                <w:lang w:eastAsia="en-GB"/>
              </w:rPr>
            </w:pPr>
            <w:r w:rsidRPr="007347B0">
              <w:rPr>
                <w:rFonts w:cs="Arial"/>
                <w:sz w:val="22"/>
                <w:szCs w:val="22"/>
              </w:rPr>
              <w:t xml:space="preserve">A cross party Campus </w:t>
            </w:r>
            <w:r w:rsidRPr="007347B0">
              <w:rPr>
                <w:rFonts w:cs="Arial"/>
                <w:sz w:val="22"/>
                <w:szCs w:val="22"/>
                <w:lang w:eastAsia="en-GB"/>
              </w:rPr>
              <w:t>Programme Board and its role being to make recommendations to the Cabinet;</w:t>
            </w:r>
          </w:p>
          <w:p w14:paraId="1D8B61D9" w14:textId="77777777" w:rsidR="008D6A5D" w:rsidRPr="007347B0" w:rsidRDefault="008D6A5D" w:rsidP="008D6A5D">
            <w:pPr>
              <w:pStyle w:val="ListParagraph"/>
              <w:autoSpaceDE w:val="0"/>
              <w:autoSpaceDN w:val="0"/>
              <w:adjustRightInd w:val="0"/>
              <w:rPr>
                <w:rFonts w:cs="Arial"/>
                <w:sz w:val="22"/>
                <w:szCs w:val="22"/>
                <w:lang w:eastAsia="en-GB"/>
              </w:rPr>
            </w:pPr>
          </w:p>
          <w:p w14:paraId="57CB52F7" w14:textId="1971B901" w:rsidR="008D6A5D" w:rsidRDefault="008D6A5D" w:rsidP="008D6A5D">
            <w:pPr>
              <w:pStyle w:val="ListParagraph"/>
              <w:numPr>
                <w:ilvl w:val="0"/>
                <w:numId w:val="11"/>
              </w:numPr>
              <w:autoSpaceDE w:val="0"/>
              <w:autoSpaceDN w:val="0"/>
              <w:adjustRightInd w:val="0"/>
              <w:rPr>
                <w:rFonts w:cs="Arial"/>
                <w:sz w:val="22"/>
                <w:szCs w:val="22"/>
                <w:lang w:eastAsia="en-GB"/>
              </w:rPr>
            </w:pPr>
            <w:r w:rsidRPr="007347B0">
              <w:rPr>
                <w:rFonts w:cs="Arial"/>
                <w:sz w:val="22"/>
                <w:szCs w:val="22"/>
                <w:lang w:eastAsia="en-GB"/>
              </w:rPr>
              <w:t>An Officer Project Team</w:t>
            </w:r>
            <w:r>
              <w:rPr>
                <w:rFonts w:cs="Arial"/>
                <w:sz w:val="22"/>
                <w:szCs w:val="22"/>
                <w:lang w:eastAsia="en-GB"/>
              </w:rPr>
              <w:t xml:space="preserve">, </w:t>
            </w:r>
            <w:r w:rsidRPr="007347B0">
              <w:rPr>
                <w:rFonts w:cs="Arial"/>
                <w:sz w:val="22"/>
                <w:szCs w:val="22"/>
                <w:lang w:eastAsia="en-GB"/>
              </w:rPr>
              <w:t>which at that point in time</w:t>
            </w:r>
            <w:r>
              <w:rPr>
                <w:rFonts w:cs="Arial"/>
                <w:sz w:val="22"/>
                <w:szCs w:val="22"/>
                <w:lang w:eastAsia="en-GB"/>
              </w:rPr>
              <w:t>,</w:t>
            </w:r>
            <w:r w:rsidRPr="007347B0">
              <w:rPr>
                <w:rFonts w:cs="Arial"/>
                <w:sz w:val="22"/>
                <w:szCs w:val="22"/>
                <w:lang w:eastAsia="en-GB"/>
              </w:rPr>
              <w:t xml:space="preserve"> was is in the process of finalising a formal Project Implementation Plan alongside taking measures to accelerate the programme. At each meeting the team would review:</w:t>
            </w:r>
          </w:p>
          <w:p w14:paraId="4F8DED06" w14:textId="77777777" w:rsidR="00EE024A" w:rsidRPr="00EE024A" w:rsidRDefault="00EE024A" w:rsidP="00EE024A">
            <w:pPr>
              <w:pStyle w:val="ListParagraph"/>
              <w:rPr>
                <w:rFonts w:cs="Arial"/>
                <w:sz w:val="22"/>
                <w:szCs w:val="22"/>
                <w:lang w:eastAsia="en-GB"/>
              </w:rPr>
            </w:pPr>
          </w:p>
          <w:p w14:paraId="3AD319B4" w14:textId="77777777" w:rsidR="00EE024A" w:rsidRPr="007347B0" w:rsidRDefault="00EE024A" w:rsidP="00EE024A">
            <w:pPr>
              <w:pStyle w:val="ListParagraph"/>
              <w:autoSpaceDE w:val="0"/>
              <w:autoSpaceDN w:val="0"/>
              <w:adjustRightInd w:val="0"/>
              <w:rPr>
                <w:rFonts w:cs="Arial"/>
                <w:sz w:val="22"/>
                <w:szCs w:val="22"/>
                <w:lang w:eastAsia="en-GB"/>
              </w:rPr>
            </w:pPr>
          </w:p>
          <w:p w14:paraId="2E3AB3B6" w14:textId="6CD45E79" w:rsidR="008D6A5D" w:rsidRPr="007347B0" w:rsidRDefault="008D6A5D" w:rsidP="008D6A5D">
            <w:pPr>
              <w:pStyle w:val="ListParagraph"/>
              <w:numPr>
                <w:ilvl w:val="1"/>
                <w:numId w:val="11"/>
              </w:numPr>
              <w:autoSpaceDE w:val="0"/>
              <w:autoSpaceDN w:val="0"/>
              <w:adjustRightInd w:val="0"/>
              <w:rPr>
                <w:rFonts w:cs="Arial"/>
                <w:sz w:val="22"/>
                <w:szCs w:val="22"/>
                <w:lang w:eastAsia="en-GB"/>
              </w:rPr>
            </w:pPr>
            <w:r w:rsidRPr="007347B0">
              <w:rPr>
                <w:rFonts w:cs="Arial"/>
                <w:sz w:val="22"/>
                <w:szCs w:val="22"/>
                <w:lang w:eastAsia="en-GB"/>
              </w:rPr>
              <w:t>Programme and progress against programme</w:t>
            </w:r>
          </w:p>
          <w:p w14:paraId="1D0D08C3" w14:textId="6641A6DF" w:rsidR="008D6A5D" w:rsidRPr="007347B0" w:rsidRDefault="008D6A5D" w:rsidP="008D6A5D">
            <w:pPr>
              <w:pStyle w:val="ListParagraph"/>
              <w:numPr>
                <w:ilvl w:val="1"/>
                <w:numId w:val="11"/>
              </w:numPr>
              <w:autoSpaceDE w:val="0"/>
              <w:autoSpaceDN w:val="0"/>
              <w:adjustRightInd w:val="0"/>
              <w:rPr>
                <w:rFonts w:cs="Arial"/>
                <w:sz w:val="22"/>
                <w:szCs w:val="22"/>
                <w:lang w:eastAsia="en-GB"/>
              </w:rPr>
            </w:pPr>
            <w:r w:rsidRPr="007347B0">
              <w:rPr>
                <w:rFonts w:cs="Arial"/>
                <w:sz w:val="22"/>
                <w:szCs w:val="22"/>
                <w:lang w:eastAsia="en-GB"/>
              </w:rPr>
              <w:t>Budget and performance against budget</w:t>
            </w:r>
          </w:p>
          <w:p w14:paraId="1815EACC" w14:textId="232914C5" w:rsidR="008D6A5D" w:rsidRPr="007347B0" w:rsidRDefault="008D6A5D" w:rsidP="008D6A5D">
            <w:pPr>
              <w:pStyle w:val="ListParagraph"/>
              <w:numPr>
                <w:ilvl w:val="1"/>
                <w:numId w:val="11"/>
              </w:numPr>
              <w:autoSpaceDE w:val="0"/>
              <w:autoSpaceDN w:val="0"/>
              <w:adjustRightInd w:val="0"/>
              <w:rPr>
                <w:rFonts w:cs="Arial"/>
                <w:sz w:val="22"/>
                <w:szCs w:val="22"/>
                <w:lang w:eastAsia="en-GB"/>
              </w:rPr>
            </w:pPr>
            <w:r w:rsidRPr="007347B0">
              <w:rPr>
                <w:rFonts w:cs="Arial"/>
                <w:sz w:val="22"/>
                <w:szCs w:val="22"/>
                <w:lang w:eastAsia="en-GB"/>
              </w:rPr>
              <w:t>Current issues</w:t>
            </w:r>
          </w:p>
          <w:p w14:paraId="1BDD524D" w14:textId="18A648E8" w:rsidR="008D6A5D" w:rsidRPr="007347B0" w:rsidRDefault="008D6A5D" w:rsidP="008D6A5D">
            <w:pPr>
              <w:pStyle w:val="ListParagraph"/>
              <w:numPr>
                <w:ilvl w:val="1"/>
                <w:numId w:val="11"/>
              </w:numPr>
              <w:autoSpaceDE w:val="0"/>
              <w:autoSpaceDN w:val="0"/>
              <w:adjustRightInd w:val="0"/>
              <w:rPr>
                <w:rFonts w:cs="Arial"/>
                <w:sz w:val="22"/>
                <w:szCs w:val="22"/>
                <w:lang w:eastAsia="en-GB"/>
              </w:rPr>
            </w:pPr>
            <w:r w:rsidRPr="007347B0">
              <w:rPr>
                <w:rFonts w:cs="Arial"/>
                <w:sz w:val="22"/>
                <w:szCs w:val="22"/>
                <w:lang w:eastAsia="en-GB"/>
              </w:rPr>
              <w:t>Strategic risks</w:t>
            </w:r>
          </w:p>
          <w:p w14:paraId="14AB24AC" w14:textId="03C7CEE8" w:rsidR="008D6A5D" w:rsidRPr="007347B0" w:rsidRDefault="008D6A5D" w:rsidP="008D6A5D">
            <w:pPr>
              <w:pStyle w:val="ListParagraph"/>
              <w:numPr>
                <w:ilvl w:val="1"/>
                <w:numId w:val="11"/>
              </w:numPr>
              <w:autoSpaceDE w:val="0"/>
              <w:autoSpaceDN w:val="0"/>
              <w:adjustRightInd w:val="0"/>
              <w:rPr>
                <w:rFonts w:cs="Arial"/>
                <w:sz w:val="22"/>
                <w:szCs w:val="22"/>
                <w:lang w:eastAsia="en-GB"/>
              </w:rPr>
            </w:pPr>
            <w:r w:rsidRPr="007347B0">
              <w:rPr>
                <w:rFonts w:cs="Arial"/>
                <w:sz w:val="22"/>
                <w:szCs w:val="22"/>
                <w:lang w:eastAsia="en-GB"/>
              </w:rPr>
              <w:t>Quality and acceptance of work produced</w:t>
            </w:r>
          </w:p>
          <w:p w14:paraId="21AF9E87" w14:textId="073585D5" w:rsidR="008D6A5D" w:rsidRDefault="008D6A5D" w:rsidP="008D6A5D">
            <w:pPr>
              <w:pStyle w:val="ListParagraph"/>
              <w:numPr>
                <w:ilvl w:val="1"/>
                <w:numId w:val="11"/>
              </w:numPr>
              <w:autoSpaceDE w:val="0"/>
              <w:autoSpaceDN w:val="0"/>
              <w:adjustRightInd w:val="0"/>
              <w:rPr>
                <w:rFonts w:cs="Arial"/>
                <w:sz w:val="22"/>
                <w:szCs w:val="22"/>
                <w:lang w:eastAsia="en-GB"/>
              </w:rPr>
            </w:pPr>
            <w:r w:rsidRPr="007347B0">
              <w:rPr>
                <w:rFonts w:cs="Arial"/>
                <w:sz w:val="22"/>
                <w:szCs w:val="22"/>
                <w:lang w:eastAsia="en-GB"/>
              </w:rPr>
              <w:t>Approves the report to go the Campus Programme Board agreed decisions</w:t>
            </w:r>
          </w:p>
          <w:p w14:paraId="2B5BFCDB" w14:textId="2D5746DE" w:rsidR="008D6A5D" w:rsidRDefault="008D6A5D" w:rsidP="008D6A5D">
            <w:pPr>
              <w:autoSpaceDE w:val="0"/>
              <w:autoSpaceDN w:val="0"/>
              <w:adjustRightInd w:val="0"/>
              <w:rPr>
                <w:rFonts w:cs="Arial"/>
                <w:sz w:val="22"/>
                <w:szCs w:val="22"/>
                <w:lang w:eastAsia="en-GB"/>
              </w:rPr>
            </w:pPr>
          </w:p>
          <w:p w14:paraId="05DE1435" w14:textId="1E3433E1" w:rsidR="008D6A5D" w:rsidRDefault="008D6A5D" w:rsidP="008D6A5D">
            <w:pPr>
              <w:autoSpaceDE w:val="0"/>
              <w:autoSpaceDN w:val="0"/>
              <w:adjustRightInd w:val="0"/>
              <w:rPr>
                <w:rFonts w:cs="Arial"/>
                <w:sz w:val="22"/>
                <w:szCs w:val="22"/>
                <w:lang w:eastAsia="en-GB"/>
              </w:rPr>
            </w:pPr>
          </w:p>
          <w:p w14:paraId="696167EC" w14:textId="28628DA0" w:rsidR="008D6A5D" w:rsidRPr="007347B0" w:rsidRDefault="008D6A5D" w:rsidP="008D6A5D">
            <w:pPr>
              <w:autoSpaceDE w:val="0"/>
              <w:autoSpaceDN w:val="0"/>
              <w:adjustRightInd w:val="0"/>
              <w:rPr>
                <w:rFonts w:cs="Arial"/>
                <w:sz w:val="22"/>
                <w:szCs w:val="22"/>
                <w:lang w:eastAsia="en-GB"/>
              </w:rPr>
            </w:pPr>
            <w:r>
              <w:rPr>
                <w:rFonts w:cs="Arial"/>
                <w:sz w:val="22"/>
                <w:szCs w:val="22"/>
                <w:lang w:eastAsia="en-GB"/>
              </w:rPr>
              <w:t>The report expanded on the governance arrangements by stating that the first meeting of the Campus Programme Board was held on the 20</w:t>
            </w:r>
            <w:r w:rsidRPr="007347B0">
              <w:rPr>
                <w:rFonts w:cs="Arial"/>
                <w:sz w:val="22"/>
                <w:szCs w:val="22"/>
                <w:vertAlign w:val="superscript"/>
                <w:lang w:eastAsia="en-GB"/>
              </w:rPr>
              <w:t>th</w:t>
            </w:r>
            <w:r>
              <w:rPr>
                <w:rFonts w:cs="Arial"/>
                <w:sz w:val="22"/>
                <w:szCs w:val="22"/>
                <w:lang w:eastAsia="en-GB"/>
              </w:rPr>
              <w:t xml:space="preserve"> September 2018.  Subsequent meeting</w:t>
            </w:r>
            <w:r w:rsidR="005F1A4C">
              <w:rPr>
                <w:rFonts w:cs="Arial"/>
                <w:sz w:val="22"/>
                <w:szCs w:val="22"/>
                <w:lang w:eastAsia="en-GB"/>
              </w:rPr>
              <w:t>s</w:t>
            </w:r>
            <w:r>
              <w:rPr>
                <w:rFonts w:cs="Arial"/>
                <w:sz w:val="22"/>
                <w:szCs w:val="22"/>
                <w:lang w:eastAsia="en-GB"/>
              </w:rPr>
              <w:t xml:space="preserve"> will be held fortnightly alternating with officer project team meeting</w:t>
            </w:r>
            <w:r w:rsidR="005F1A4C">
              <w:rPr>
                <w:rFonts w:cs="Arial"/>
                <w:sz w:val="22"/>
                <w:szCs w:val="22"/>
                <w:lang w:eastAsia="en-GB"/>
              </w:rPr>
              <w:t>s</w:t>
            </w:r>
            <w:r>
              <w:rPr>
                <w:rFonts w:cs="Arial"/>
                <w:sz w:val="22"/>
                <w:szCs w:val="22"/>
                <w:lang w:eastAsia="en-GB"/>
              </w:rPr>
              <w:t>.   Reports to the Campus Programme Board will be reviewed by the Officer Project Team before issued to members.</w:t>
            </w:r>
          </w:p>
          <w:p w14:paraId="07F72529" w14:textId="77777777" w:rsidR="008D6A5D" w:rsidRPr="000F584C" w:rsidRDefault="008D6A5D" w:rsidP="008D6A5D">
            <w:pPr>
              <w:jc w:val="both"/>
              <w:rPr>
                <w:rFonts w:cs="Arial"/>
                <w:iCs/>
                <w:sz w:val="22"/>
                <w:szCs w:val="22"/>
                <w:u w:val="single"/>
              </w:rPr>
            </w:pPr>
          </w:p>
        </w:tc>
      </w:tr>
      <w:tr w:rsidR="008D6A5D" w14:paraId="0CDE9F75" w14:textId="77777777" w:rsidTr="002F2DD1">
        <w:trPr>
          <w:trHeight w:val="5729"/>
        </w:trPr>
        <w:tc>
          <w:tcPr>
            <w:tcW w:w="461" w:type="dxa"/>
          </w:tcPr>
          <w:p w14:paraId="746BDADF" w14:textId="1C3674F9" w:rsidR="008D6A5D" w:rsidRDefault="00A60D52" w:rsidP="008D6A5D">
            <w:pPr>
              <w:jc w:val="both"/>
              <w:rPr>
                <w:rFonts w:cs="Arial"/>
                <w:sz w:val="22"/>
                <w:szCs w:val="22"/>
              </w:rPr>
            </w:pPr>
            <w:r>
              <w:rPr>
                <w:rFonts w:cs="Arial"/>
                <w:sz w:val="22"/>
                <w:szCs w:val="22"/>
              </w:rPr>
              <w:lastRenderedPageBreak/>
              <w:t>17</w:t>
            </w:r>
          </w:p>
        </w:tc>
        <w:tc>
          <w:tcPr>
            <w:tcW w:w="10200" w:type="dxa"/>
          </w:tcPr>
          <w:p w14:paraId="52B09FCF" w14:textId="77777777" w:rsidR="008D6A5D" w:rsidRDefault="008D6A5D" w:rsidP="008D6A5D">
            <w:pPr>
              <w:jc w:val="both"/>
              <w:rPr>
                <w:rFonts w:cs="Arial"/>
                <w:iCs/>
                <w:sz w:val="22"/>
                <w:szCs w:val="22"/>
              </w:rPr>
            </w:pPr>
            <w:r>
              <w:rPr>
                <w:rFonts w:cs="Arial"/>
                <w:iCs/>
                <w:sz w:val="22"/>
                <w:szCs w:val="22"/>
              </w:rPr>
              <w:t>A further report was presented to Cabinet which included updated governance and reporting processes as detailed below:</w:t>
            </w:r>
          </w:p>
          <w:p w14:paraId="717B5C0B" w14:textId="2422BA14" w:rsidR="008D6A5D" w:rsidRDefault="008D6A5D" w:rsidP="008D6A5D">
            <w:pPr>
              <w:jc w:val="both"/>
              <w:rPr>
                <w:rFonts w:cs="Arial"/>
                <w:iCs/>
                <w:sz w:val="22"/>
                <w:szCs w:val="22"/>
              </w:rPr>
            </w:pPr>
            <w:r>
              <w:rPr>
                <w:noProof/>
              </w:rPr>
              <w:drawing>
                <wp:anchor distT="0" distB="0" distL="114300" distR="114300" simplePos="0" relativeHeight="251662848" behindDoc="0" locked="0" layoutInCell="1" allowOverlap="1" wp14:anchorId="3450089B" wp14:editId="64C6BF1D">
                  <wp:simplePos x="0" y="0"/>
                  <wp:positionH relativeFrom="column">
                    <wp:posOffset>200025</wp:posOffset>
                  </wp:positionH>
                  <wp:positionV relativeFrom="paragraph">
                    <wp:posOffset>53975</wp:posOffset>
                  </wp:positionV>
                  <wp:extent cx="5731510" cy="3143250"/>
                  <wp:effectExtent l="0" t="0" r="254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31510" cy="3143250"/>
                          </a:xfrm>
                          <a:prstGeom prst="rect">
                            <a:avLst/>
                          </a:prstGeom>
                          <a:noFill/>
                          <a:ln>
                            <a:noFill/>
                          </a:ln>
                        </pic:spPr>
                      </pic:pic>
                    </a:graphicData>
                  </a:graphic>
                  <wp14:sizeRelV relativeFrom="margin">
                    <wp14:pctHeight>0</wp14:pctHeight>
                  </wp14:sizeRelV>
                </wp:anchor>
              </w:drawing>
            </w:r>
          </w:p>
          <w:p w14:paraId="5A0C9BF6" w14:textId="00966163" w:rsidR="008D6A5D" w:rsidRDefault="008D6A5D" w:rsidP="008D6A5D">
            <w:pPr>
              <w:jc w:val="both"/>
              <w:rPr>
                <w:rFonts w:cs="Arial"/>
                <w:iCs/>
                <w:sz w:val="22"/>
                <w:szCs w:val="22"/>
              </w:rPr>
            </w:pPr>
          </w:p>
          <w:p w14:paraId="07495269" w14:textId="77777777" w:rsidR="008D6A5D" w:rsidRDefault="008D6A5D" w:rsidP="008D6A5D">
            <w:pPr>
              <w:jc w:val="both"/>
              <w:rPr>
                <w:rFonts w:cs="Arial"/>
                <w:iCs/>
                <w:sz w:val="22"/>
                <w:szCs w:val="22"/>
              </w:rPr>
            </w:pPr>
          </w:p>
          <w:p w14:paraId="32F7B27D" w14:textId="77777777" w:rsidR="008D6A5D" w:rsidRDefault="008D6A5D" w:rsidP="008D6A5D">
            <w:pPr>
              <w:jc w:val="both"/>
              <w:rPr>
                <w:rFonts w:cs="Arial"/>
                <w:iCs/>
                <w:sz w:val="22"/>
                <w:szCs w:val="22"/>
              </w:rPr>
            </w:pPr>
          </w:p>
          <w:p w14:paraId="56644DFD" w14:textId="77777777" w:rsidR="008D6A5D" w:rsidRDefault="008D6A5D" w:rsidP="008D6A5D">
            <w:pPr>
              <w:jc w:val="both"/>
              <w:rPr>
                <w:rFonts w:cs="Arial"/>
                <w:iCs/>
                <w:sz w:val="22"/>
                <w:szCs w:val="22"/>
              </w:rPr>
            </w:pPr>
          </w:p>
          <w:p w14:paraId="5E36749B" w14:textId="77777777" w:rsidR="008D6A5D" w:rsidRDefault="008D6A5D" w:rsidP="008D6A5D">
            <w:pPr>
              <w:jc w:val="both"/>
              <w:rPr>
                <w:rFonts w:cs="Arial"/>
                <w:iCs/>
                <w:sz w:val="22"/>
                <w:szCs w:val="22"/>
              </w:rPr>
            </w:pPr>
          </w:p>
          <w:p w14:paraId="0B2054C1" w14:textId="77777777" w:rsidR="008D6A5D" w:rsidRDefault="008D6A5D" w:rsidP="008D6A5D">
            <w:pPr>
              <w:jc w:val="both"/>
              <w:rPr>
                <w:rFonts w:cs="Arial"/>
                <w:iCs/>
                <w:sz w:val="22"/>
                <w:szCs w:val="22"/>
              </w:rPr>
            </w:pPr>
          </w:p>
          <w:p w14:paraId="6F924EE2" w14:textId="77777777" w:rsidR="008D6A5D" w:rsidRDefault="008D6A5D" w:rsidP="008D6A5D">
            <w:pPr>
              <w:jc w:val="both"/>
              <w:rPr>
                <w:rFonts w:cs="Arial"/>
                <w:iCs/>
                <w:sz w:val="22"/>
                <w:szCs w:val="22"/>
              </w:rPr>
            </w:pPr>
          </w:p>
          <w:p w14:paraId="3EB96F65" w14:textId="77777777" w:rsidR="008D6A5D" w:rsidRDefault="008D6A5D" w:rsidP="008D6A5D">
            <w:pPr>
              <w:jc w:val="both"/>
              <w:rPr>
                <w:rFonts w:cs="Arial"/>
                <w:iCs/>
                <w:sz w:val="22"/>
                <w:szCs w:val="22"/>
              </w:rPr>
            </w:pPr>
          </w:p>
          <w:p w14:paraId="12B20C6B" w14:textId="77777777" w:rsidR="008D6A5D" w:rsidRDefault="008D6A5D" w:rsidP="008D6A5D">
            <w:pPr>
              <w:jc w:val="both"/>
              <w:rPr>
                <w:rFonts w:cs="Arial"/>
                <w:iCs/>
                <w:sz w:val="22"/>
                <w:szCs w:val="22"/>
              </w:rPr>
            </w:pPr>
          </w:p>
          <w:p w14:paraId="4E8F8F31" w14:textId="77777777" w:rsidR="008D6A5D" w:rsidRDefault="008D6A5D" w:rsidP="008D6A5D">
            <w:pPr>
              <w:jc w:val="both"/>
              <w:rPr>
                <w:rFonts w:cs="Arial"/>
                <w:iCs/>
                <w:sz w:val="22"/>
                <w:szCs w:val="22"/>
              </w:rPr>
            </w:pPr>
          </w:p>
          <w:p w14:paraId="4D2DF7B3" w14:textId="77777777" w:rsidR="008D6A5D" w:rsidRDefault="008D6A5D" w:rsidP="008D6A5D">
            <w:pPr>
              <w:jc w:val="both"/>
              <w:rPr>
                <w:rFonts w:cs="Arial"/>
                <w:iCs/>
                <w:sz w:val="22"/>
                <w:szCs w:val="22"/>
              </w:rPr>
            </w:pPr>
          </w:p>
          <w:p w14:paraId="2BDC94FB" w14:textId="77777777" w:rsidR="008D6A5D" w:rsidRDefault="008D6A5D" w:rsidP="008D6A5D">
            <w:pPr>
              <w:jc w:val="both"/>
              <w:rPr>
                <w:rFonts w:cs="Arial"/>
                <w:iCs/>
                <w:sz w:val="22"/>
                <w:szCs w:val="22"/>
              </w:rPr>
            </w:pPr>
          </w:p>
          <w:p w14:paraId="68B89951" w14:textId="77845C79" w:rsidR="008D6A5D" w:rsidRPr="004C2E38" w:rsidRDefault="008D6A5D" w:rsidP="008D6A5D">
            <w:pPr>
              <w:jc w:val="both"/>
              <w:rPr>
                <w:rFonts w:cs="Arial"/>
                <w:iCs/>
                <w:sz w:val="22"/>
                <w:szCs w:val="22"/>
              </w:rPr>
            </w:pPr>
          </w:p>
        </w:tc>
      </w:tr>
      <w:tr w:rsidR="008D6A5D" w14:paraId="295E9B55" w14:textId="77777777" w:rsidTr="002F2DD1">
        <w:trPr>
          <w:trHeight w:val="3461"/>
        </w:trPr>
        <w:tc>
          <w:tcPr>
            <w:tcW w:w="461" w:type="dxa"/>
          </w:tcPr>
          <w:p w14:paraId="61776339" w14:textId="4FB147CE" w:rsidR="008D6A5D" w:rsidRDefault="00A60D52" w:rsidP="008D6A5D">
            <w:pPr>
              <w:jc w:val="both"/>
              <w:rPr>
                <w:rFonts w:cs="Arial"/>
                <w:sz w:val="22"/>
                <w:szCs w:val="22"/>
              </w:rPr>
            </w:pPr>
            <w:r>
              <w:rPr>
                <w:rFonts w:cs="Arial"/>
                <w:sz w:val="22"/>
                <w:szCs w:val="22"/>
              </w:rPr>
              <w:t>18</w:t>
            </w:r>
          </w:p>
        </w:tc>
        <w:tc>
          <w:tcPr>
            <w:tcW w:w="10200" w:type="dxa"/>
          </w:tcPr>
          <w:p w14:paraId="79916434" w14:textId="77777777" w:rsidR="008D6A5D" w:rsidRPr="009F0504" w:rsidRDefault="008D6A5D" w:rsidP="008D6A5D">
            <w:pPr>
              <w:jc w:val="both"/>
              <w:rPr>
                <w:rFonts w:cs="Arial"/>
                <w:iCs/>
                <w:sz w:val="22"/>
                <w:szCs w:val="22"/>
              </w:rPr>
            </w:pPr>
            <w:r w:rsidRPr="009F0504">
              <w:rPr>
                <w:rFonts w:cs="Arial"/>
                <w:iCs/>
                <w:sz w:val="22"/>
                <w:szCs w:val="22"/>
              </w:rPr>
              <w:t>Details of the membership of each group was included as:</w:t>
            </w:r>
          </w:p>
          <w:p w14:paraId="6EBE61D3" w14:textId="77777777" w:rsidR="008D6A5D" w:rsidRPr="009F0504" w:rsidRDefault="008D6A5D" w:rsidP="008D6A5D">
            <w:pPr>
              <w:jc w:val="both"/>
              <w:rPr>
                <w:rFonts w:cs="Arial"/>
                <w:iCs/>
                <w:sz w:val="22"/>
                <w:szCs w:val="22"/>
              </w:rPr>
            </w:pPr>
          </w:p>
          <w:p w14:paraId="6D3BB9A1" w14:textId="77777777" w:rsidR="008D6A5D" w:rsidRPr="009F0504" w:rsidRDefault="008D6A5D" w:rsidP="008D6A5D">
            <w:pPr>
              <w:jc w:val="both"/>
              <w:rPr>
                <w:rFonts w:cs="Arial"/>
                <w:iCs/>
                <w:sz w:val="22"/>
                <w:szCs w:val="22"/>
              </w:rPr>
            </w:pPr>
            <w:r w:rsidRPr="009F0504">
              <w:rPr>
                <w:rFonts w:cs="Arial"/>
                <w:b/>
                <w:bCs/>
                <w:iCs/>
                <w:sz w:val="22"/>
                <w:szCs w:val="22"/>
              </w:rPr>
              <w:t>Campus Programme Board</w:t>
            </w:r>
            <w:r w:rsidRPr="009F0504">
              <w:rPr>
                <w:rFonts w:cs="Arial"/>
                <w:iCs/>
                <w:sz w:val="22"/>
                <w:szCs w:val="22"/>
              </w:rPr>
              <w:t>:</w:t>
            </w:r>
          </w:p>
          <w:p w14:paraId="0895D8B1" w14:textId="01FE527B" w:rsidR="008D6A5D" w:rsidRPr="009F0504" w:rsidRDefault="008D6A5D" w:rsidP="008D6A5D">
            <w:pPr>
              <w:jc w:val="both"/>
              <w:rPr>
                <w:rFonts w:cs="Arial"/>
                <w:sz w:val="22"/>
                <w:szCs w:val="22"/>
                <w:lang w:eastAsia="en-GB"/>
              </w:rPr>
            </w:pPr>
            <w:r w:rsidRPr="009F0504">
              <w:rPr>
                <w:rFonts w:cs="Arial"/>
                <w:iCs/>
                <w:sz w:val="22"/>
                <w:szCs w:val="22"/>
              </w:rPr>
              <w:t xml:space="preserve">Members - </w:t>
            </w:r>
            <w:r w:rsidRPr="009F0504">
              <w:rPr>
                <w:rFonts w:cs="Arial"/>
                <w:sz w:val="22"/>
                <w:szCs w:val="22"/>
                <w:lang w:eastAsia="en-GB"/>
              </w:rPr>
              <w:t xml:space="preserve">Leader of the </w:t>
            </w:r>
            <w:r w:rsidR="00470B48">
              <w:rPr>
                <w:rFonts w:cs="Arial"/>
                <w:sz w:val="22"/>
                <w:szCs w:val="22"/>
                <w:lang w:eastAsia="en-GB"/>
              </w:rPr>
              <w:t>Council</w:t>
            </w:r>
            <w:r w:rsidRPr="009F0504">
              <w:rPr>
                <w:rFonts w:cs="Arial"/>
                <w:sz w:val="22"/>
                <w:szCs w:val="22"/>
                <w:lang w:eastAsia="en-GB"/>
              </w:rPr>
              <w:t>, Portfolio Holders or deputies, Shadow portfolio Holders or deputies</w:t>
            </w:r>
          </w:p>
          <w:p w14:paraId="14790348" w14:textId="77777777" w:rsidR="008D6A5D" w:rsidRPr="009F0504" w:rsidRDefault="008D6A5D" w:rsidP="008D6A5D">
            <w:pPr>
              <w:jc w:val="both"/>
              <w:rPr>
                <w:rFonts w:cs="Arial"/>
                <w:sz w:val="22"/>
                <w:szCs w:val="22"/>
                <w:lang w:eastAsia="en-GB"/>
              </w:rPr>
            </w:pPr>
            <w:r w:rsidRPr="009F0504">
              <w:rPr>
                <w:rFonts w:cs="Arial"/>
                <w:sz w:val="22"/>
                <w:szCs w:val="22"/>
              </w:rPr>
              <w:t xml:space="preserve">Officers: </w:t>
            </w:r>
            <w:r w:rsidRPr="009F0504">
              <w:rPr>
                <w:rFonts w:cs="Arial"/>
                <w:sz w:val="22"/>
                <w:szCs w:val="22"/>
                <w:lang w:eastAsia="en-GB"/>
              </w:rPr>
              <w:t>Chief Executive, Deputy Chief Executive of Regeneration and Growth, Interim Project Director pending the arrival of the Assistant Director of Neighbourhoods and Development.</w:t>
            </w:r>
          </w:p>
          <w:p w14:paraId="15C3A48B" w14:textId="77777777" w:rsidR="008D6A5D" w:rsidRPr="009F0504" w:rsidRDefault="008D6A5D" w:rsidP="008D6A5D">
            <w:pPr>
              <w:jc w:val="both"/>
              <w:rPr>
                <w:rFonts w:cs="Arial"/>
                <w:iCs/>
                <w:sz w:val="22"/>
                <w:szCs w:val="22"/>
              </w:rPr>
            </w:pPr>
          </w:p>
          <w:p w14:paraId="1A43F56B" w14:textId="5C800F99" w:rsidR="008D6A5D" w:rsidRDefault="008D6A5D" w:rsidP="008D6A5D">
            <w:pPr>
              <w:jc w:val="both"/>
              <w:rPr>
                <w:rFonts w:cs="Arial"/>
                <w:iCs/>
                <w:sz w:val="22"/>
                <w:szCs w:val="22"/>
              </w:rPr>
            </w:pPr>
            <w:r w:rsidRPr="009F0504">
              <w:rPr>
                <w:rFonts w:cs="Arial"/>
                <w:b/>
                <w:bCs/>
                <w:iCs/>
                <w:sz w:val="22"/>
                <w:szCs w:val="22"/>
              </w:rPr>
              <w:t>Officer Project Team</w:t>
            </w:r>
            <w:r w:rsidRPr="009F0504">
              <w:rPr>
                <w:rFonts w:cs="Arial"/>
                <w:iCs/>
                <w:sz w:val="22"/>
                <w:szCs w:val="22"/>
              </w:rPr>
              <w:t>:</w:t>
            </w:r>
          </w:p>
          <w:p w14:paraId="3C266E34" w14:textId="657B43EE" w:rsidR="008D6A5D" w:rsidRPr="009F0504" w:rsidRDefault="008D6A5D" w:rsidP="00A60D52">
            <w:pPr>
              <w:jc w:val="both"/>
              <w:rPr>
                <w:rFonts w:cs="Arial"/>
                <w:iCs/>
                <w:sz w:val="22"/>
                <w:szCs w:val="22"/>
              </w:rPr>
            </w:pPr>
            <w:r>
              <w:rPr>
                <w:rFonts w:cs="Arial"/>
                <w:iCs/>
                <w:sz w:val="22"/>
                <w:szCs w:val="22"/>
              </w:rPr>
              <w:t>Deputy Chief Executive Regeneration and Growth, Director Planning and Property, Director of Neighbourhoods and Development, External Project Director (until DCE in post then AD Projects and Development), Leisure Manager, Planning Manager, Project member Leisure Centre, Procurement, Legal and Finance.</w:t>
            </w:r>
          </w:p>
        </w:tc>
      </w:tr>
      <w:tr w:rsidR="008D6A5D" w14:paraId="63310B55" w14:textId="77777777" w:rsidTr="002F2DD1">
        <w:tc>
          <w:tcPr>
            <w:tcW w:w="461" w:type="dxa"/>
          </w:tcPr>
          <w:p w14:paraId="1448D235" w14:textId="092CF8CF" w:rsidR="008D6A5D" w:rsidRDefault="00A60D52" w:rsidP="008D6A5D">
            <w:pPr>
              <w:jc w:val="both"/>
              <w:rPr>
                <w:rFonts w:cs="Arial"/>
                <w:sz w:val="22"/>
                <w:szCs w:val="22"/>
              </w:rPr>
            </w:pPr>
            <w:r>
              <w:rPr>
                <w:rFonts w:cs="Arial"/>
                <w:sz w:val="22"/>
                <w:szCs w:val="22"/>
              </w:rPr>
              <w:t>19</w:t>
            </w:r>
          </w:p>
        </w:tc>
        <w:tc>
          <w:tcPr>
            <w:tcW w:w="10200" w:type="dxa"/>
          </w:tcPr>
          <w:p w14:paraId="2087AC28" w14:textId="77777777" w:rsidR="008D6A5D" w:rsidRDefault="008D6A5D" w:rsidP="008D6A5D">
            <w:pPr>
              <w:jc w:val="both"/>
              <w:rPr>
                <w:rFonts w:cs="Arial"/>
                <w:iCs/>
                <w:sz w:val="22"/>
                <w:szCs w:val="22"/>
              </w:rPr>
            </w:pPr>
            <w:r w:rsidRPr="004C2E38">
              <w:rPr>
                <w:rFonts w:cs="Arial"/>
                <w:iCs/>
                <w:sz w:val="22"/>
                <w:szCs w:val="22"/>
              </w:rPr>
              <w:t>The minutes from both Cabinet meetings confirm that the governance arrangements were unanimously agreed</w:t>
            </w:r>
            <w:r>
              <w:rPr>
                <w:rFonts w:cs="Arial"/>
                <w:iCs/>
                <w:sz w:val="22"/>
                <w:szCs w:val="22"/>
              </w:rPr>
              <w:t>.</w:t>
            </w:r>
          </w:p>
          <w:p w14:paraId="48B50296" w14:textId="5601DCFD" w:rsidR="008D6A5D" w:rsidRPr="000F584C" w:rsidRDefault="008D6A5D" w:rsidP="008D6A5D">
            <w:pPr>
              <w:jc w:val="both"/>
              <w:rPr>
                <w:rFonts w:cs="Arial"/>
                <w:iCs/>
                <w:sz w:val="22"/>
                <w:szCs w:val="22"/>
                <w:u w:val="single"/>
              </w:rPr>
            </w:pPr>
          </w:p>
        </w:tc>
      </w:tr>
      <w:tr w:rsidR="008D6A5D" w14:paraId="2E7C247B" w14:textId="77777777" w:rsidTr="002F2DD1">
        <w:tc>
          <w:tcPr>
            <w:tcW w:w="461" w:type="dxa"/>
          </w:tcPr>
          <w:p w14:paraId="079AC0C4" w14:textId="6629D53E" w:rsidR="008D6A5D" w:rsidRDefault="00A60D52" w:rsidP="008D6A5D">
            <w:pPr>
              <w:jc w:val="both"/>
              <w:rPr>
                <w:rFonts w:cs="Arial"/>
                <w:sz w:val="22"/>
                <w:szCs w:val="22"/>
              </w:rPr>
            </w:pPr>
            <w:r>
              <w:rPr>
                <w:rFonts w:cs="Arial"/>
                <w:sz w:val="22"/>
                <w:szCs w:val="22"/>
              </w:rPr>
              <w:t>20</w:t>
            </w:r>
          </w:p>
        </w:tc>
        <w:tc>
          <w:tcPr>
            <w:tcW w:w="10200" w:type="dxa"/>
          </w:tcPr>
          <w:p w14:paraId="282666E0" w14:textId="6B63CE60" w:rsidR="008D6A5D" w:rsidRDefault="008D6A5D" w:rsidP="008D6A5D">
            <w:pPr>
              <w:jc w:val="both"/>
              <w:rPr>
                <w:rFonts w:cs="Arial"/>
                <w:iCs/>
                <w:sz w:val="22"/>
                <w:szCs w:val="22"/>
              </w:rPr>
            </w:pPr>
            <w:r w:rsidRPr="00A63B09">
              <w:rPr>
                <w:rFonts w:cs="Arial"/>
                <w:iCs/>
                <w:sz w:val="22"/>
                <w:szCs w:val="22"/>
              </w:rPr>
              <w:t>The review of the files and evidence identified the following control</w:t>
            </w:r>
            <w:r w:rsidR="00A60D52">
              <w:rPr>
                <w:rFonts w:cs="Arial"/>
                <w:iCs/>
                <w:sz w:val="22"/>
                <w:szCs w:val="22"/>
              </w:rPr>
              <w:t xml:space="preserve"> failures</w:t>
            </w:r>
            <w:r w:rsidRPr="00A63B09">
              <w:rPr>
                <w:rFonts w:cs="Arial"/>
                <w:iCs/>
                <w:sz w:val="22"/>
                <w:szCs w:val="22"/>
              </w:rPr>
              <w:t>:</w:t>
            </w:r>
          </w:p>
          <w:p w14:paraId="42B55D03" w14:textId="42BE0C30" w:rsidR="008D6A5D" w:rsidRDefault="008D6A5D" w:rsidP="008D6A5D">
            <w:pPr>
              <w:jc w:val="both"/>
              <w:rPr>
                <w:rFonts w:cs="Arial"/>
                <w:iCs/>
                <w:sz w:val="22"/>
                <w:szCs w:val="22"/>
              </w:rPr>
            </w:pPr>
          </w:p>
          <w:p w14:paraId="0FE66DF3" w14:textId="2675DDBD" w:rsidR="008D6A5D" w:rsidRDefault="008D6A5D" w:rsidP="008D6A5D">
            <w:pPr>
              <w:pStyle w:val="ListParagraph"/>
              <w:numPr>
                <w:ilvl w:val="0"/>
                <w:numId w:val="12"/>
              </w:numPr>
              <w:jc w:val="both"/>
              <w:rPr>
                <w:rFonts w:cs="Arial"/>
                <w:iCs/>
                <w:sz w:val="22"/>
                <w:szCs w:val="22"/>
              </w:rPr>
            </w:pPr>
            <w:r>
              <w:rPr>
                <w:rFonts w:cs="Arial"/>
                <w:iCs/>
                <w:sz w:val="22"/>
                <w:szCs w:val="22"/>
              </w:rPr>
              <w:t>Given the significant financial aspect to the project, the Section 151 Officer was not a member of the Campus Programme Board.  Furthermore, only a representative from Finance is included in the Officer Project Team and not specifically the S151 Officer;</w:t>
            </w:r>
          </w:p>
          <w:p w14:paraId="6774DB36" w14:textId="77777777" w:rsidR="008D6A5D" w:rsidRDefault="008D6A5D" w:rsidP="008D6A5D">
            <w:pPr>
              <w:pStyle w:val="ListParagraph"/>
              <w:jc w:val="both"/>
              <w:rPr>
                <w:rFonts w:cs="Arial"/>
                <w:iCs/>
                <w:sz w:val="22"/>
                <w:szCs w:val="22"/>
              </w:rPr>
            </w:pPr>
          </w:p>
          <w:p w14:paraId="1BA1EC8C" w14:textId="77777777" w:rsidR="005C4D9D" w:rsidRDefault="008D6A5D" w:rsidP="009D3CE9">
            <w:pPr>
              <w:pStyle w:val="ListParagraph"/>
              <w:numPr>
                <w:ilvl w:val="0"/>
                <w:numId w:val="12"/>
              </w:numPr>
              <w:jc w:val="both"/>
              <w:rPr>
                <w:rFonts w:cs="Arial"/>
                <w:iCs/>
                <w:sz w:val="22"/>
                <w:szCs w:val="22"/>
              </w:rPr>
            </w:pPr>
            <w:r w:rsidRPr="005C4D9D">
              <w:rPr>
                <w:rFonts w:cs="Arial"/>
                <w:iCs/>
                <w:sz w:val="22"/>
                <w:szCs w:val="22"/>
              </w:rPr>
              <w:t>Comprehensive minutes from the Campus Programme Board meetings were not taken, therefore discussions and outcomes in relation to individual agenda items cannot be reviewed, and an audit trail of documented decisions is not available. Corporate Support confirmed that officers were informed that minutes were not necessary.  Only action points only were documented and retained for the Campus Programme Board</w:t>
            </w:r>
            <w:r w:rsidR="005C4D9D" w:rsidRPr="005C4D9D">
              <w:rPr>
                <w:rFonts w:cs="Arial"/>
                <w:iCs/>
                <w:sz w:val="22"/>
                <w:szCs w:val="22"/>
              </w:rPr>
              <w:t xml:space="preserve">.  </w:t>
            </w:r>
          </w:p>
          <w:p w14:paraId="2DFC7414" w14:textId="77777777" w:rsidR="005C4D9D" w:rsidRPr="005C4D9D" w:rsidRDefault="005C4D9D" w:rsidP="005C4D9D">
            <w:pPr>
              <w:pStyle w:val="ListParagraph"/>
              <w:rPr>
                <w:rFonts w:cs="Arial"/>
                <w:iCs/>
                <w:sz w:val="22"/>
                <w:szCs w:val="22"/>
              </w:rPr>
            </w:pPr>
          </w:p>
          <w:p w14:paraId="41E9FA59" w14:textId="602C395F" w:rsidR="008D6A5D" w:rsidRPr="005C4D9D" w:rsidRDefault="008D6A5D" w:rsidP="009D3CE9">
            <w:pPr>
              <w:pStyle w:val="ListParagraph"/>
              <w:numPr>
                <w:ilvl w:val="0"/>
                <w:numId w:val="12"/>
              </w:numPr>
              <w:jc w:val="both"/>
              <w:rPr>
                <w:rFonts w:cs="Arial"/>
                <w:iCs/>
                <w:sz w:val="22"/>
                <w:szCs w:val="22"/>
              </w:rPr>
            </w:pPr>
            <w:r w:rsidRPr="005C4D9D">
              <w:rPr>
                <w:rFonts w:cs="Arial"/>
                <w:iCs/>
                <w:sz w:val="22"/>
                <w:szCs w:val="22"/>
              </w:rPr>
              <w:t xml:space="preserve"> Evidence suggests that the last Campus Programme Board meeting was held on 11/01/19 after a total of seven meetings.  There are no action points available for this meeting and we are unable to ascertain why these meetings ultimately ceased;</w:t>
            </w:r>
          </w:p>
          <w:p w14:paraId="37319CD0" w14:textId="77777777" w:rsidR="008D6A5D" w:rsidRPr="00067198" w:rsidRDefault="008D6A5D" w:rsidP="008D6A5D">
            <w:pPr>
              <w:pStyle w:val="ListParagraph"/>
              <w:rPr>
                <w:rFonts w:cs="Arial"/>
                <w:iCs/>
                <w:sz w:val="22"/>
                <w:szCs w:val="22"/>
              </w:rPr>
            </w:pPr>
          </w:p>
          <w:p w14:paraId="5833A786" w14:textId="2FA08372" w:rsidR="006751AE" w:rsidRPr="00E85C56" w:rsidRDefault="006751AE" w:rsidP="00E85C56">
            <w:pPr>
              <w:pStyle w:val="ListParagraph"/>
              <w:numPr>
                <w:ilvl w:val="0"/>
                <w:numId w:val="12"/>
              </w:numPr>
              <w:autoSpaceDE w:val="0"/>
              <w:autoSpaceDN w:val="0"/>
              <w:adjustRightInd w:val="0"/>
              <w:rPr>
                <w:rFonts w:cs="Arial"/>
                <w:sz w:val="22"/>
                <w:szCs w:val="22"/>
                <w:lang w:eastAsia="en-GB"/>
              </w:rPr>
            </w:pPr>
            <w:r w:rsidRPr="00E85C56">
              <w:rPr>
                <w:rFonts w:cs="Arial"/>
                <w:iCs/>
                <w:sz w:val="22"/>
                <w:szCs w:val="22"/>
              </w:rPr>
              <w:t xml:space="preserve">Officer Project team meetings were </w:t>
            </w:r>
            <w:r w:rsidR="00E85C56" w:rsidRPr="00E85C56">
              <w:rPr>
                <w:rFonts w:cs="Arial"/>
                <w:iCs/>
                <w:sz w:val="22"/>
                <w:szCs w:val="22"/>
              </w:rPr>
              <w:t>held;</w:t>
            </w:r>
            <w:r w:rsidRPr="00E85C56">
              <w:rPr>
                <w:rFonts w:cs="Arial"/>
                <w:iCs/>
                <w:sz w:val="22"/>
                <w:szCs w:val="22"/>
              </w:rPr>
              <w:t xml:space="preserve"> however the frequency of the meetings was not as agreed by Cabinet as they were held on a monthly basis rather than </w:t>
            </w:r>
            <w:r w:rsidR="00E85C56" w:rsidRPr="00E85C56">
              <w:rPr>
                <w:rFonts w:cs="Arial"/>
                <w:iCs/>
                <w:sz w:val="22"/>
                <w:szCs w:val="22"/>
              </w:rPr>
              <w:t>fortnightly</w:t>
            </w:r>
            <w:r w:rsidRPr="00E85C56">
              <w:rPr>
                <w:rFonts w:cs="Arial"/>
                <w:iCs/>
                <w:sz w:val="22"/>
                <w:szCs w:val="22"/>
              </w:rPr>
              <w:t xml:space="preserve">.   In </w:t>
            </w:r>
            <w:r w:rsidR="00E85C56" w:rsidRPr="00E85C56">
              <w:rPr>
                <w:rFonts w:cs="Arial"/>
                <w:iCs/>
                <w:sz w:val="22"/>
                <w:szCs w:val="22"/>
              </w:rPr>
              <w:t>addition,</w:t>
            </w:r>
            <w:r w:rsidRPr="00E85C56">
              <w:rPr>
                <w:rFonts w:cs="Arial"/>
                <w:iCs/>
                <w:sz w:val="22"/>
                <w:szCs w:val="22"/>
              </w:rPr>
              <w:t xml:space="preserve"> there is no evidence of the team approving the report to go the Campus Programme Board</w:t>
            </w:r>
            <w:r w:rsidR="00E85C56" w:rsidRPr="00E85C56">
              <w:rPr>
                <w:rFonts w:cs="Arial"/>
                <w:iCs/>
                <w:sz w:val="22"/>
                <w:szCs w:val="22"/>
              </w:rPr>
              <w:t xml:space="preserve"> as set ou</w:t>
            </w:r>
            <w:r w:rsidR="00D25B0A">
              <w:rPr>
                <w:rFonts w:cs="Arial"/>
                <w:iCs/>
                <w:sz w:val="22"/>
                <w:szCs w:val="22"/>
              </w:rPr>
              <w:t>t</w:t>
            </w:r>
            <w:r w:rsidR="00E85C56" w:rsidRPr="00E85C56">
              <w:rPr>
                <w:rFonts w:cs="Arial"/>
                <w:iCs/>
                <w:sz w:val="22"/>
                <w:szCs w:val="22"/>
              </w:rPr>
              <w:t xml:space="preserve"> in the stated governance arrangements.</w:t>
            </w:r>
          </w:p>
          <w:p w14:paraId="6B343030" w14:textId="77777777" w:rsidR="00E85C56" w:rsidRPr="00E85C56" w:rsidRDefault="00E85C56" w:rsidP="00E85C56">
            <w:pPr>
              <w:pStyle w:val="ListParagraph"/>
              <w:rPr>
                <w:rFonts w:cs="Arial"/>
                <w:sz w:val="22"/>
                <w:szCs w:val="22"/>
                <w:lang w:eastAsia="en-GB"/>
              </w:rPr>
            </w:pPr>
          </w:p>
          <w:p w14:paraId="079B4860" w14:textId="377A053E" w:rsidR="00E85C56" w:rsidRPr="00E85C56" w:rsidRDefault="00E85C56" w:rsidP="00E85C56">
            <w:pPr>
              <w:pStyle w:val="ListParagraph"/>
              <w:numPr>
                <w:ilvl w:val="0"/>
                <w:numId w:val="12"/>
              </w:numPr>
              <w:autoSpaceDE w:val="0"/>
              <w:autoSpaceDN w:val="0"/>
              <w:adjustRightInd w:val="0"/>
              <w:rPr>
                <w:rFonts w:cs="Arial"/>
                <w:sz w:val="22"/>
                <w:szCs w:val="22"/>
                <w:lang w:eastAsia="en-GB"/>
              </w:rPr>
            </w:pPr>
            <w:r>
              <w:rPr>
                <w:rFonts w:cs="Arial"/>
                <w:sz w:val="22"/>
                <w:szCs w:val="22"/>
                <w:lang w:eastAsia="en-GB"/>
              </w:rPr>
              <w:t>Senior officers of the project officer team were absent from meetings at the point in time when it became clear that the emerging costs were far in excess of the £15m budget allocation.</w:t>
            </w:r>
          </w:p>
          <w:p w14:paraId="1CAC1679" w14:textId="77777777" w:rsidR="006751AE" w:rsidRPr="00E85C56" w:rsidRDefault="006751AE" w:rsidP="00E85C56">
            <w:pPr>
              <w:autoSpaceDE w:val="0"/>
              <w:autoSpaceDN w:val="0"/>
              <w:adjustRightInd w:val="0"/>
              <w:ind w:left="1080"/>
              <w:rPr>
                <w:rFonts w:cs="Arial"/>
                <w:sz w:val="22"/>
                <w:szCs w:val="22"/>
                <w:lang w:eastAsia="en-GB"/>
              </w:rPr>
            </w:pPr>
          </w:p>
          <w:p w14:paraId="362492B5" w14:textId="1BAE4928" w:rsidR="008D6A5D" w:rsidRDefault="008D6A5D" w:rsidP="008D6A5D">
            <w:pPr>
              <w:pStyle w:val="ListParagraph"/>
              <w:numPr>
                <w:ilvl w:val="0"/>
                <w:numId w:val="12"/>
              </w:numPr>
              <w:jc w:val="both"/>
              <w:rPr>
                <w:rFonts w:cs="Arial"/>
                <w:iCs/>
                <w:sz w:val="22"/>
                <w:szCs w:val="22"/>
              </w:rPr>
            </w:pPr>
            <w:r>
              <w:rPr>
                <w:rFonts w:cs="Arial"/>
                <w:iCs/>
                <w:sz w:val="22"/>
                <w:szCs w:val="22"/>
              </w:rPr>
              <w:t xml:space="preserve">Meetings between the </w:t>
            </w:r>
            <w:r w:rsidR="00470B48">
              <w:rPr>
                <w:rFonts w:cs="Arial"/>
                <w:iCs/>
                <w:sz w:val="22"/>
                <w:szCs w:val="22"/>
              </w:rPr>
              <w:t>Council</w:t>
            </w:r>
            <w:r>
              <w:rPr>
                <w:rFonts w:cs="Arial"/>
                <w:iCs/>
                <w:sz w:val="22"/>
                <w:szCs w:val="22"/>
              </w:rPr>
              <w:t xml:space="preserve"> and the design team </w:t>
            </w:r>
            <w:r w:rsidR="00E85C56">
              <w:rPr>
                <w:rFonts w:cs="Arial"/>
                <w:iCs/>
                <w:sz w:val="22"/>
                <w:szCs w:val="22"/>
              </w:rPr>
              <w:t xml:space="preserve">(officer project team meetings) </w:t>
            </w:r>
            <w:r>
              <w:rPr>
                <w:rFonts w:cs="Arial"/>
                <w:iCs/>
                <w:sz w:val="22"/>
                <w:szCs w:val="22"/>
              </w:rPr>
              <w:t>continued monthly until 19/07/19, however it is unclear from the absence of Campus Programme Board meetings or Cabinet reporting where ongoing progress/issues were being reported or escalated.</w:t>
            </w:r>
          </w:p>
          <w:p w14:paraId="19643258" w14:textId="77777777" w:rsidR="00E85C56" w:rsidRPr="00E85C56" w:rsidRDefault="00E85C56" w:rsidP="00E85C56">
            <w:pPr>
              <w:pStyle w:val="ListParagraph"/>
              <w:rPr>
                <w:rFonts w:cs="Arial"/>
                <w:iCs/>
                <w:sz w:val="22"/>
                <w:szCs w:val="22"/>
              </w:rPr>
            </w:pPr>
          </w:p>
          <w:p w14:paraId="49B14B92" w14:textId="0912849B" w:rsidR="008D6A5D" w:rsidRPr="005C4D9D" w:rsidRDefault="005C4D9D" w:rsidP="002227FC">
            <w:pPr>
              <w:pStyle w:val="ListParagraph"/>
              <w:numPr>
                <w:ilvl w:val="0"/>
                <w:numId w:val="12"/>
              </w:numPr>
              <w:jc w:val="both"/>
              <w:rPr>
                <w:rFonts w:cs="Arial"/>
                <w:iCs/>
                <w:sz w:val="22"/>
                <w:szCs w:val="22"/>
              </w:rPr>
            </w:pPr>
            <w:r>
              <w:rPr>
                <w:rFonts w:cs="Arial"/>
                <w:iCs/>
                <w:sz w:val="22"/>
                <w:szCs w:val="22"/>
              </w:rPr>
              <w:t>Given the size and value of the project, the r</w:t>
            </w:r>
            <w:r w:rsidR="00E85C56" w:rsidRPr="005C4D9D">
              <w:rPr>
                <w:rFonts w:cs="Arial"/>
                <w:iCs/>
                <w:sz w:val="22"/>
                <w:szCs w:val="22"/>
              </w:rPr>
              <w:t xml:space="preserve">eview of </w:t>
            </w:r>
            <w:r w:rsidRPr="005C4D9D">
              <w:rPr>
                <w:rFonts w:cs="Arial"/>
                <w:iCs/>
                <w:sz w:val="22"/>
                <w:szCs w:val="22"/>
              </w:rPr>
              <w:t xml:space="preserve">the </w:t>
            </w:r>
            <w:r w:rsidR="00E85C56" w:rsidRPr="005C4D9D">
              <w:rPr>
                <w:rFonts w:cs="Arial"/>
                <w:iCs/>
                <w:sz w:val="22"/>
                <w:szCs w:val="22"/>
              </w:rPr>
              <w:t xml:space="preserve">files and data held on In-phase (the Council’s project management system) </w:t>
            </w:r>
            <w:r>
              <w:rPr>
                <w:rFonts w:cs="Arial"/>
                <w:iCs/>
                <w:sz w:val="22"/>
                <w:szCs w:val="22"/>
              </w:rPr>
              <w:t xml:space="preserve">has revealed limited project management documentation. </w:t>
            </w:r>
            <w:r w:rsidRPr="005C4D9D">
              <w:rPr>
                <w:rFonts w:cs="Arial"/>
                <w:iCs/>
                <w:sz w:val="22"/>
                <w:szCs w:val="22"/>
              </w:rPr>
              <w:t xml:space="preserve"> </w:t>
            </w:r>
          </w:p>
          <w:p w14:paraId="56E1C62A" w14:textId="4834AEE5" w:rsidR="008D6A5D" w:rsidRPr="000F584C" w:rsidRDefault="008D6A5D" w:rsidP="00E85C56">
            <w:pPr>
              <w:pStyle w:val="ListParagraph"/>
              <w:jc w:val="both"/>
              <w:rPr>
                <w:rFonts w:cs="Arial"/>
                <w:iCs/>
                <w:sz w:val="22"/>
                <w:szCs w:val="22"/>
                <w:u w:val="single"/>
              </w:rPr>
            </w:pPr>
          </w:p>
        </w:tc>
      </w:tr>
      <w:tr w:rsidR="008D6A5D" w14:paraId="4E98B867" w14:textId="77777777" w:rsidTr="002F2DD1">
        <w:tc>
          <w:tcPr>
            <w:tcW w:w="461" w:type="dxa"/>
          </w:tcPr>
          <w:p w14:paraId="696D00FE" w14:textId="34F41F5C" w:rsidR="008D6A5D" w:rsidRDefault="00A60D52" w:rsidP="008D6A5D">
            <w:pPr>
              <w:jc w:val="both"/>
              <w:rPr>
                <w:rFonts w:cs="Arial"/>
                <w:sz w:val="22"/>
                <w:szCs w:val="22"/>
              </w:rPr>
            </w:pPr>
            <w:r>
              <w:rPr>
                <w:rFonts w:cs="Arial"/>
                <w:sz w:val="22"/>
                <w:szCs w:val="22"/>
              </w:rPr>
              <w:lastRenderedPageBreak/>
              <w:t>21</w:t>
            </w:r>
          </w:p>
        </w:tc>
        <w:tc>
          <w:tcPr>
            <w:tcW w:w="10200" w:type="dxa"/>
          </w:tcPr>
          <w:p w14:paraId="2414F66B" w14:textId="10405182" w:rsidR="00D25B0A" w:rsidRDefault="008D6A5D" w:rsidP="008D6A5D">
            <w:pPr>
              <w:pStyle w:val="Default"/>
              <w:jc w:val="both"/>
              <w:rPr>
                <w:sz w:val="22"/>
                <w:szCs w:val="22"/>
              </w:rPr>
            </w:pPr>
            <w:r w:rsidRPr="00BF3185">
              <w:rPr>
                <w:sz w:val="22"/>
                <w:szCs w:val="22"/>
              </w:rPr>
              <w:t xml:space="preserve">The lack of records of the </w:t>
            </w:r>
            <w:r>
              <w:rPr>
                <w:sz w:val="22"/>
                <w:szCs w:val="22"/>
              </w:rPr>
              <w:t xml:space="preserve">Campus </w:t>
            </w:r>
            <w:r w:rsidRPr="00BF3185">
              <w:rPr>
                <w:sz w:val="22"/>
                <w:szCs w:val="22"/>
              </w:rPr>
              <w:t xml:space="preserve">Programme Board and </w:t>
            </w:r>
            <w:r>
              <w:rPr>
                <w:sz w:val="22"/>
                <w:szCs w:val="22"/>
              </w:rPr>
              <w:t xml:space="preserve">lack of project documentation </w:t>
            </w:r>
            <w:r w:rsidRPr="00BF3185">
              <w:rPr>
                <w:sz w:val="22"/>
                <w:szCs w:val="22"/>
              </w:rPr>
              <w:t xml:space="preserve">demonstrates a clear disregard for the </w:t>
            </w:r>
            <w:r>
              <w:rPr>
                <w:sz w:val="22"/>
                <w:szCs w:val="22"/>
              </w:rPr>
              <w:t>g</w:t>
            </w:r>
            <w:r w:rsidRPr="00BF3185">
              <w:rPr>
                <w:sz w:val="22"/>
                <w:szCs w:val="22"/>
              </w:rPr>
              <w:t>overnance arrangements put in place for this project. Governance arrangements ensure effective decision making, mean</w:t>
            </w:r>
            <w:r>
              <w:rPr>
                <w:sz w:val="22"/>
                <w:szCs w:val="22"/>
              </w:rPr>
              <w:t>ing</w:t>
            </w:r>
            <w:r w:rsidRPr="00BF3185">
              <w:rPr>
                <w:sz w:val="22"/>
                <w:szCs w:val="22"/>
              </w:rPr>
              <w:t xml:space="preserve"> that Members were unable to make effective decisions in regard to this project</w:t>
            </w:r>
            <w:r>
              <w:rPr>
                <w:sz w:val="22"/>
                <w:szCs w:val="22"/>
              </w:rPr>
              <w:t>.</w:t>
            </w:r>
          </w:p>
          <w:p w14:paraId="15CC02EB" w14:textId="1D4A06F7" w:rsidR="008D6A5D" w:rsidRPr="000F584C" w:rsidRDefault="008D6A5D" w:rsidP="008D6A5D">
            <w:pPr>
              <w:pStyle w:val="Default"/>
              <w:jc w:val="both"/>
              <w:rPr>
                <w:iCs/>
                <w:sz w:val="22"/>
                <w:szCs w:val="22"/>
                <w:u w:val="single"/>
              </w:rPr>
            </w:pPr>
            <w:r w:rsidRPr="00BF3185">
              <w:rPr>
                <w:sz w:val="22"/>
                <w:szCs w:val="22"/>
              </w:rPr>
              <w:t xml:space="preserve"> </w:t>
            </w:r>
          </w:p>
        </w:tc>
      </w:tr>
      <w:tr w:rsidR="008D6A5D" w14:paraId="68933125" w14:textId="77777777" w:rsidTr="002F2DD1">
        <w:tc>
          <w:tcPr>
            <w:tcW w:w="461" w:type="dxa"/>
          </w:tcPr>
          <w:p w14:paraId="69290EE9" w14:textId="77777777" w:rsidR="008D6A5D" w:rsidRDefault="008D6A5D" w:rsidP="008D6A5D">
            <w:pPr>
              <w:jc w:val="both"/>
              <w:rPr>
                <w:rFonts w:cs="Arial"/>
                <w:sz w:val="22"/>
                <w:szCs w:val="22"/>
              </w:rPr>
            </w:pPr>
          </w:p>
        </w:tc>
        <w:tc>
          <w:tcPr>
            <w:tcW w:w="10200" w:type="dxa"/>
          </w:tcPr>
          <w:p w14:paraId="75D554AF" w14:textId="2CF75935" w:rsidR="00863697" w:rsidRPr="00863697" w:rsidRDefault="00863697" w:rsidP="00863697">
            <w:pPr>
              <w:pStyle w:val="Default"/>
              <w:rPr>
                <w:b/>
                <w:bCs/>
                <w:sz w:val="22"/>
                <w:szCs w:val="22"/>
              </w:rPr>
            </w:pPr>
            <w:r w:rsidRPr="00863697">
              <w:rPr>
                <w:b/>
                <w:bCs/>
                <w:sz w:val="22"/>
                <w:szCs w:val="22"/>
              </w:rPr>
              <w:t xml:space="preserve">Ensure </w:t>
            </w:r>
            <w:r w:rsidR="0047325F">
              <w:rPr>
                <w:b/>
                <w:bCs/>
                <w:sz w:val="22"/>
                <w:szCs w:val="22"/>
              </w:rPr>
              <w:t>p</w:t>
            </w:r>
            <w:r w:rsidRPr="00863697">
              <w:rPr>
                <w:b/>
                <w:bCs/>
                <w:sz w:val="22"/>
                <w:szCs w:val="22"/>
              </w:rPr>
              <w:t xml:space="preserve">rocedures in respect of </w:t>
            </w:r>
            <w:r w:rsidR="0047325F">
              <w:rPr>
                <w:b/>
                <w:bCs/>
                <w:sz w:val="22"/>
                <w:szCs w:val="22"/>
              </w:rPr>
              <w:t>k</w:t>
            </w:r>
            <w:r w:rsidRPr="00863697">
              <w:rPr>
                <w:b/>
                <w:bCs/>
                <w:sz w:val="22"/>
                <w:szCs w:val="22"/>
              </w:rPr>
              <w:t xml:space="preserve">ey </w:t>
            </w:r>
            <w:r w:rsidR="0047325F">
              <w:rPr>
                <w:b/>
                <w:bCs/>
                <w:sz w:val="22"/>
                <w:szCs w:val="22"/>
              </w:rPr>
              <w:t>d</w:t>
            </w:r>
            <w:r w:rsidRPr="00863697">
              <w:rPr>
                <w:b/>
                <w:bCs/>
                <w:sz w:val="22"/>
                <w:szCs w:val="22"/>
              </w:rPr>
              <w:t xml:space="preserve">ecisions have been adhered to </w:t>
            </w:r>
          </w:p>
          <w:p w14:paraId="672DF169" w14:textId="77777777" w:rsidR="008D6A5D" w:rsidRPr="000F584C" w:rsidRDefault="008D6A5D" w:rsidP="008D6A5D">
            <w:pPr>
              <w:jc w:val="both"/>
              <w:rPr>
                <w:rFonts w:cs="Arial"/>
                <w:iCs/>
                <w:sz w:val="22"/>
                <w:szCs w:val="22"/>
                <w:u w:val="single"/>
              </w:rPr>
            </w:pPr>
          </w:p>
        </w:tc>
      </w:tr>
      <w:tr w:rsidR="008D6A5D" w14:paraId="703E0B80" w14:textId="77777777" w:rsidTr="002F2DD1">
        <w:tc>
          <w:tcPr>
            <w:tcW w:w="461" w:type="dxa"/>
          </w:tcPr>
          <w:p w14:paraId="59810E73" w14:textId="58D2DB02" w:rsidR="008D6A5D" w:rsidRDefault="00A60D52" w:rsidP="008D6A5D">
            <w:pPr>
              <w:jc w:val="both"/>
              <w:rPr>
                <w:rFonts w:cs="Arial"/>
                <w:sz w:val="22"/>
                <w:szCs w:val="22"/>
              </w:rPr>
            </w:pPr>
            <w:r>
              <w:rPr>
                <w:rFonts w:cs="Arial"/>
                <w:sz w:val="22"/>
                <w:szCs w:val="22"/>
              </w:rPr>
              <w:t>22</w:t>
            </w:r>
          </w:p>
        </w:tc>
        <w:tc>
          <w:tcPr>
            <w:tcW w:w="10200" w:type="dxa"/>
          </w:tcPr>
          <w:p w14:paraId="282D55CA" w14:textId="5FC52D20" w:rsidR="00863697" w:rsidRDefault="00863697" w:rsidP="00863697">
            <w:pPr>
              <w:pStyle w:val="Default"/>
              <w:jc w:val="both"/>
              <w:rPr>
                <w:sz w:val="22"/>
                <w:szCs w:val="22"/>
                <w:lang w:val="en"/>
              </w:rPr>
            </w:pPr>
            <w:r>
              <w:rPr>
                <w:sz w:val="22"/>
                <w:szCs w:val="22"/>
                <w:lang w:val="en"/>
              </w:rPr>
              <w:t xml:space="preserve">The </w:t>
            </w:r>
            <w:r w:rsidR="00470B48">
              <w:rPr>
                <w:sz w:val="22"/>
                <w:szCs w:val="22"/>
                <w:lang w:val="en"/>
              </w:rPr>
              <w:t>Council</w:t>
            </w:r>
            <w:r>
              <w:rPr>
                <w:sz w:val="22"/>
                <w:szCs w:val="22"/>
                <w:lang w:val="en"/>
              </w:rPr>
              <w:t xml:space="preserve"> considers a </w:t>
            </w:r>
            <w:r w:rsidRPr="00722DA8">
              <w:rPr>
                <w:sz w:val="22"/>
                <w:szCs w:val="22"/>
                <w:lang w:val="en"/>
              </w:rPr>
              <w:t>key decision</w:t>
            </w:r>
            <w:r w:rsidRPr="00932732">
              <w:rPr>
                <w:sz w:val="22"/>
                <w:szCs w:val="22"/>
                <w:lang w:val="en"/>
              </w:rPr>
              <w:t xml:space="preserve"> </w:t>
            </w:r>
            <w:r>
              <w:rPr>
                <w:sz w:val="22"/>
                <w:szCs w:val="22"/>
                <w:lang w:val="en"/>
              </w:rPr>
              <w:t>as</w:t>
            </w:r>
            <w:r w:rsidRPr="00932732">
              <w:rPr>
                <w:sz w:val="22"/>
                <w:szCs w:val="22"/>
                <w:lang w:val="en"/>
              </w:rPr>
              <w:t xml:space="preserve"> one which is likely to be significant in terms of expenditure or savings, or significant in terms of its impact on communities. The </w:t>
            </w:r>
            <w:r>
              <w:rPr>
                <w:sz w:val="22"/>
                <w:szCs w:val="22"/>
                <w:lang w:val="en"/>
              </w:rPr>
              <w:t>f</w:t>
            </w:r>
            <w:r w:rsidRPr="00932732">
              <w:rPr>
                <w:sz w:val="22"/>
                <w:szCs w:val="22"/>
                <w:lang w:val="en"/>
              </w:rPr>
              <w:t>inancial threshold at which expenditure or savings becomes significant is set at £</w:t>
            </w:r>
            <w:r>
              <w:rPr>
                <w:sz w:val="22"/>
                <w:szCs w:val="22"/>
                <w:lang w:val="en"/>
              </w:rPr>
              <w:t>100</w:t>
            </w:r>
            <w:r w:rsidRPr="00932732">
              <w:rPr>
                <w:sz w:val="22"/>
                <w:szCs w:val="22"/>
                <w:lang w:val="en"/>
              </w:rPr>
              <w:t>,000.</w:t>
            </w:r>
          </w:p>
          <w:p w14:paraId="471448EA" w14:textId="77777777" w:rsidR="008D6A5D" w:rsidRPr="000F584C" w:rsidRDefault="008D6A5D" w:rsidP="008D6A5D">
            <w:pPr>
              <w:jc w:val="both"/>
              <w:rPr>
                <w:rFonts w:cs="Arial"/>
                <w:iCs/>
                <w:sz w:val="22"/>
                <w:szCs w:val="22"/>
                <w:u w:val="single"/>
              </w:rPr>
            </w:pPr>
          </w:p>
        </w:tc>
      </w:tr>
      <w:tr w:rsidR="008D6A5D" w14:paraId="2E3B5BD3" w14:textId="77777777" w:rsidTr="002F2DD1">
        <w:tc>
          <w:tcPr>
            <w:tcW w:w="461" w:type="dxa"/>
          </w:tcPr>
          <w:p w14:paraId="605511FE" w14:textId="33D26A6E" w:rsidR="008D6A5D" w:rsidRDefault="00A60D52" w:rsidP="008D6A5D">
            <w:pPr>
              <w:jc w:val="both"/>
              <w:rPr>
                <w:rFonts w:cs="Arial"/>
                <w:sz w:val="22"/>
                <w:szCs w:val="22"/>
              </w:rPr>
            </w:pPr>
            <w:r>
              <w:rPr>
                <w:rFonts w:cs="Arial"/>
                <w:sz w:val="22"/>
                <w:szCs w:val="22"/>
              </w:rPr>
              <w:t>23</w:t>
            </w:r>
          </w:p>
        </w:tc>
        <w:tc>
          <w:tcPr>
            <w:tcW w:w="10200" w:type="dxa"/>
          </w:tcPr>
          <w:tbl>
            <w:tblPr>
              <w:tblW w:w="0" w:type="auto"/>
              <w:tblBorders>
                <w:top w:val="nil"/>
                <w:left w:val="nil"/>
                <w:bottom w:val="nil"/>
                <w:right w:val="nil"/>
              </w:tblBorders>
              <w:tblLook w:val="0000" w:firstRow="0" w:lastRow="0" w:firstColumn="0" w:lastColumn="0" w:noHBand="0" w:noVBand="0"/>
            </w:tblPr>
            <w:tblGrid>
              <w:gridCol w:w="9984"/>
            </w:tblGrid>
            <w:tr w:rsidR="008D6A5D" w14:paraId="083D411C" w14:textId="77777777">
              <w:trPr>
                <w:trHeight w:val="103"/>
              </w:trPr>
              <w:tc>
                <w:tcPr>
                  <w:tcW w:w="0" w:type="auto"/>
                </w:tcPr>
                <w:p w14:paraId="7980A930" w14:textId="71702F82" w:rsidR="00863697" w:rsidRDefault="00863697" w:rsidP="00863697">
                  <w:pPr>
                    <w:jc w:val="both"/>
                    <w:rPr>
                      <w:rFonts w:cs="Arial"/>
                      <w:sz w:val="22"/>
                      <w:szCs w:val="22"/>
                      <w:lang w:val="en"/>
                    </w:rPr>
                  </w:pPr>
                  <w:r>
                    <w:rPr>
                      <w:rFonts w:cs="Arial"/>
                      <w:sz w:val="22"/>
                      <w:szCs w:val="22"/>
                      <w:lang w:val="en"/>
                    </w:rPr>
                    <w:t xml:space="preserve">A series of key decisions in relation to the Health &amp; Wellbeing Campus were made by Cabinet and are outlined in the Cabinet report and minutes of 21/06/18, 12/09/18, 17/10/18 and 21/11/18. An additional report was planned for 23/01/19 to provide a detailed </w:t>
                  </w:r>
                  <w:proofErr w:type="spellStart"/>
                  <w:r>
                    <w:rPr>
                      <w:rFonts w:cs="Arial"/>
                      <w:sz w:val="22"/>
                      <w:szCs w:val="22"/>
                      <w:lang w:val="en"/>
                    </w:rPr>
                    <w:t>programme</w:t>
                  </w:r>
                  <w:proofErr w:type="spellEnd"/>
                  <w:r>
                    <w:rPr>
                      <w:rFonts w:cs="Arial"/>
                      <w:sz w:val="22"/>
                      <w:szCs w:val="22"/>
                      <w:lang w:val="en"/>
                    </w:rPr>
                    <w:t xml:space="preserve"> of activity for the project.</w:t>
                  </w:r>
                </w:p>
                <w:p w14:paraId="01E6A464" w14:textId="367D0712" w:rsidR="008D6A5D" w:rsidRDefault="008D6A5D" w:rsidP="008D6A5D">
                  <w:pPr>
                    <w:pStyle w:val="Default"/>
                    <w:rPr>
                      <w:sz w:val="22"/>
                      <w:szCs w:val="22"/>
                    </w:rPr>
                  </w:pPr>
                </w:p>
              </w:tc>
            </w:tr>
          </w:tbl>
          <w:p w14:paraId="3AA02F17" w14:textId="77777777" w:rsidR="008D6A5D" w:rsidRPr="000F584C" w:rsidRDefault="008D6A5D" w:rsidP="008D6A5D">
            <w:pPr>
              <w:jc w:val="both"/>
              <w:rPr>
                <w:rFonts w:cs="Arial"/>
                <w:iCs/>
                <w:sz w:val="22"/>
                <w:szCs w:val="22"/>
                <w:u w:val="single"/>
              </w:rPr>
            </w:pPr>
          </w:p>
        </w:tc>
      </w:tr>
      <w:tr w:rsidR="008D6A5D" w14:paraId="680A5E74" w14:textId="77777777" w:rsidTr="002F2DD1">
        <w:tc>
          <w:tcPr>
            <w:tcW w:w="461" w:type="dxa"/>
          </w:tcPr>
          <w:p w14:paraId="1E474936" w14:textId="6DD1A62D" w:rsidR="008D6A5D" w:rsidRDefault="00A60D52" w:rsidP="008D6A5D">
            <w:pPr>
              <w:jc w:val="both"/>
              <w:rPr>
                <w:rFonts w:cs="Arial"/>
                <w:sz w:val="22"/>
                <w:szCs w:val="22"/>
              </w:rPr>
            </w:pPr>
            <w:r>
              <w:rPr>
                <w:rFonts w:cs="Arial"/>
                <w:sz w:val="22"/>
                <w:szCs w:val="22"/>
              </w:rPr>
              <w:t>24</w:t>
            </w:r>
          </w:p>
        </w:tc>
        <w:tc>
          <w:tcPr>
            <w:tcW w:w="10200" w:type="dxa"/>
          </w:tcPr>
          <w:p w14:paraId="1F43EDA6" w14:textId="2A8EC570" w:rsidR="008D6A5D" w:rsidRDefault="00470B48" w:rsidP="008D6A5D">
            <w:pPr>
              <w:jc w:val="both"/>
              <w:rPr>
                <w:rFonts w:cs="Arial"/>
                <w:iCs/>
                <w:sz w:val="22"/>
                <w:szCs w:val="22"/>
                <w:u w:val="single"/>
              </w:rPr>
            </w:pPr>
            <w:r w:rsidRPr="00470B48">
              <w:rPr>
                <w:rFonts w:cs="Arial"/>
                <w:iCs/>
                <w:sz w:val="22"/>
                <w:szCs w:val="22"/>
              </w:rPr>
              <w:t>In addition, t</w:t>
            </w:r>
            <w:r w:rsidR="00863697" w:rsidRPr="00470B48">
              <w:rPr>
                <w:rFonts w:cs="Arial"/>
                <w:iCs/>
                <w:sz w:val="22"/>
                <w:szCs w:val="22"/>
              </w:rPr>
              <w:t xml:space="preserve">he report to Cabinet in October </w:t>
            </w:r>
            <w:r w:rsidRPr="00470B48">
              <w:rPr>
                <w:rFonts w:cs="Arial"/>
                <w:iCs/>
                <w:sz w:val="22"/>
                <w:szCs w:val="22"/>
              </w:rPr>
              <w:t>2018 contained the following</w:t>
            </w:r>
            <w:r>
              <w:rPr>
                <w:rFonts w:cs="Arial"/>
                <w:iCs/>
                <w:sz w:val="22"/>
                <w:szCs w:val="22"/>
              </w:rPr>
              <w:t xml:space="preserve"> detail:</w:t>
            </w:r>
          </w:p>
          <w:p w14:paraId="116A00E6" w14:textId="77777777" w:rsidR="00470B48" w:rsidRDefault="00470B48" w:rsidP="008D6A5D">
            <w:pPr>
              <w:jc w:val="both"/>
              <w:rPr>
                <w:rFonts w:cs="Arial"/>
                <w:iCs/>
                <w:sz w:val="22"/>
                <w:szCs w:val="22"/>
                <w:u w:val="single"/>
              </w:rPr>
            </w:pPr>
          </w:p>
          <w:p w14:paraId="0D9AE1C7" w14:textId="77777777" w:rsidR="00470B48" w:rsidRPr="00470B48" w:rsidRDefault="00470B48" w:rsidP="00470B48">
            <w:pPr>
              <w:pStyle w:val="ListParagraph"/>
              <w:numPr>
                <w:ilvl w:val="0"/>
                <w:numId w:val="19"/>
              </w:numPr>
              <w:autoSpaceDE w:val="0"/>
              <w:autoSpaceDN w:val="0"/>
              <w:adjustRightInd w:val="0"/>
              <w:rPr>
                <w:rFonts w:ascii="ArialMT" w:hAnsi="ArialMT" w:cs="ArialMT"/>
                <w:sz w:val="22"/>
                <w:szCs w:val="22"/>
                <w:lang w:eastAsia="en-GB"/>
              </w:rPr>
            </w:pPr>
            <w:r w:rsidRPr="00470B48">
              <w:rPr>
                <w:rFonts w:ascii="ArialMT" w:hAnsi="ArialMT" w:cs="ArialMT"/>
                <w:sz w:val="22"/>
                <w:szCs w:val="22"/>
                <w:lang w:eastAsia="en-GB"/>
              </w:rPr>
              <w:t>every key decision of this programme the Program Director appointed following Cabinet</w:t>
            </w:r>
          </w:p>
          <w:p w14:paraId="09D43729" w14:textId="59BBB6B7" w:rsidR="00470B48" w:rsidRDefault="00470B48" w:rsidP="00470B48">
            <w:pPr>
              <w:autoSpaceDE w:val="0"/>
              <w:autoSpaceDN w:val="0"/>
              <w:adjustRightInd w:val="0"/>
              <w:rPr>
                <w:rFonts w:ascii="ArialMT" w:hAnsi="ArialMT" w:cs="ArialMT"/>
                <w:sz w:val="22"/>
                <w:szCs w:val="22"/>
                <w:lang w:eastAsia="en-GB"/>
              </w:rPr>
            </w:pPr>
            <w:r>
              <w:rPr>
                <w:rFonts w:ascii="ArialMT" w:hAnsi="ArialMT" w:cs="ArialMT"/>
                <w:sz w:val="22"/>
                <w:szCs w:val="22"/>
                <w:lang w:eastAsia="en-GB"/>
              </w:rPr>
              <w:tab/>
              <w:t>approval 21</w:t>
            </w:r>
            <w:r>
              <w:rPr>
                <w:rFonts w:ascii="ArialMT" w:hAnsi="ArialMT" w:cs="ArialMT"/>
                <w:sz w:val="14"/>
                <w:szCs w:val="14"/>
                <w:lang w:eastAsia="en-GB"/>
              </w:rPr>
              <w:t xml:space="preserve">st </w:t>
            </w:r>
            <w:r>
              <w:rPr>
                <w:rFonts w:ascii="ArialMT" w:hAnsi="ArialMT" w:cs="ArialMT"/>
                <w:sz w:val="22"/>
                <w:szCs w:val="22"/>
                <w:lang w:eastAsia="en-GB"/>
              </w:rPr>
              <w:t>June 2018 will review the contract on value, price and quality and will refer all</w:t>
            </w:r>
          </w:p>
          <w:p w14:paraId="7558A921" w14:textId="77777777" w:rsidR="00470B48" w:rsidRDefault="00470B48" w:rsidP="00470B48">
            <w:pPr>
              <w:jc w:val="both"/>
              <w:rPr>
                <w:rFonts w:ascii="ArialMT" w:hAnsi="ArialMT" w:cs="ArialMT"/>
                <w:sz w:val="22"/>
                <w:szCs w:val="22"/>
                <w:lang w:eastAsia="en-GB"/>
              </w:rPr>
            </w:pPr>
            <w:r>
              <w:rPr>
                <w:rFonts w:ascii="ArialMT" w:hAnsi="ArialMT" w:cs="ArialMT"/>
                <w:sz w:val="22"/>
                <w:szCs w:val="22"/>
                <w:lang w:eastAsia="en-GB"/>
              </w:rPr>
              <w:tab/>
              <w:t>decisions above £100,000 back to Cabinet.</w:t>
            </w:r>
          </w:p>
          <w:p w14:paraId="2FD06047" w14:textId="4AFD5FFF" w:rsidR="00470B48" w:rsidRPr="000F584C" w:rsidRDefault="00470B48" w:rsidP="00470B48">
            <w:pPr>
              <w:jc w:val="both"/>
              <w:rPr>
                <w:rFonts w:cs="Arial"/>
                <w:iCs/>
                <w:sz w:val="22"/>
                <w:szCs w:val="22"/>
                <w:u w:val="single"/>
              </w:rPr>
            </w:pPr>
          </w:p>
        </w:tc>
      </w:tr>
      <w:tr w:rsidR="008D6A5D" w14:paraId="70448579" w14:textId="77777777" w:rsidTr="002F2DD1">
        <w:tc>
          <w:tcPr>
            <w:tcW w:w="461" w:type="dxa"/>
          </w:tcPr>
          <w:p w14:paraId="4BB072D8" w14:textId="39CB190F" w:rsidR="008D6A5D" w:rsidRDefault="00A60D52" w:rsidP="008D6A5D">
            <w:pPr>
              <w:jc w:val="both"/>
              <w:rPr>
                <w:rFonts w:cs="Arial"/>
                <w:sz w:val="22"/>
                <w:szCs w:val="22"/>
              </w:rPr>
            </w:pPr>
            <w:r>
              <w:rPr>
                <w:rFonts w:cs="Arial"/>
                <w:sz w:val="22"/>
                <w:szCs w:val="22"/>
              </w:rPr>
              <w:t>25</w:t>
            </w:r>
          </w:p>
        </w:tc>
        <w:tc>
          <w:tcPr>
            <w:tcW w:w="10200" w:type="dxa"/>
          </w:tcPr>
          <w:p w14:paraId="6609CBEF" w14:textId="70757C09" w:rsidR="00470B48" w:rsidRDefault="00470B48" w:rsidP="00470B48">
            <w:pPr>
              <w:jc w:val="both"/>
              <w:rPr>
                <w:sz w:val="22"/>
                <w:szCs w:val="22"/>
              </w:rPr>
            </w:pPr>
            <w:r>
              <w:rPr>
                <w:sz w:val="22"/>
                <w:szCs w:val="22"/>
              </w:rPr>
              <w:t>From the documentation available for review there is evidence that the project team were in possession of emerging information in December 2018 advising that the approved budget for the project was going to be insufficient for the scope of the project that had been outlined. Additionally, an increase in professional fees for Faith</w:t>
            </w:r>
            <w:r w:rsidR="00E92BEA">
              <w:rPr>
                <w:sz w:val="22"/>
                <w:szCs w:val="22"/>
              </w:rPr>
              <w:t>ful</w:t>
            </w:r>
            <w:r>
              <w:rPr>
                <w:sz w:val="22"/>
                <w:szCs w:val="22"/>
              </w:rPr>
              <w:t xml:space="preserve"> &amp; Gould </w:t>
            </w:r>
            <w:r w:rsidR="00E92BEA">
              <w:rPr>
                <w:sz w:val="22"/>
                <w:szCs w:val="22"/>
              </w:rPr>
              <w:t xml:space="preserve">Ltd </w:t>
            </w:r>
            <w:r>
              <w:rPr>
                <w:sz w:val="22"/>
                <w:szCs w:val="22"/>
              </w:rPr>
              <w:t>was anticipated in line with additional work that would be required that was not included within the original brief.</w:t>
            </w:r>
          </w:p>
          <w:p w14:paraId="4B32A082" w14:textId="77777777" w:rsidR="008D6A5D" w:rsidRPr="000F584C" w:rsidRDefault="008D6A5D" w:rsidP="008D6A5D">
            <w:pPr>
              <w:jc w:val="both"/>
              <w:rPr>
                <w:rFonts w:cs="Arial"/>
                <w:iCs/>
                <w:sz w:val="22"/>
                <w:szCs w:val="22"/>
                <w:u w:val="single"/>
              </w:rPr>
            </w:pPr>
          </w:p>
        </w:tc>
      </w:tr>
      <w:tr w:rsidR="008D6A5D" w14:paraId="0FCD83EB" w14:textId="77777777" w:rsidTr="002F2DD1">
        <w:tc>
          <w:tcPr>
            <w:tcW w:w="461" w:type="dxa"/>
          </w:tcPr>
          <w:p w14:paraId="19E7B687" w14:textId="239D9C6E" w:rsidR="008D6A5D" w:rsidRDefault="00A60D52" w:rsidP="008D6A5D">
            <w:pPr>
              <w:jc w:val="both"/>
              <w:rPr>
                <w:rFonts w:cs="Arial"/>
                <w:sz w:val="22"/>
                <w:szCs w:val="22"/>
              </w:rPr>
            </w:pPr>
            <w:r>
              <w:rPr>
                <w:rFonts w:cs="Arial"/>
                <w:sz w:val="22"/>
                <w:szCs w:val="22"/>
              </w:rPr>
              <w:t>26</w:t>
            </w:r>
          </w:p>
        </w:tc>
        <w:tc>
          <w:tcPr>
            <w:tcW w:w="10200" w:type="dxa"/>
          </w:tcPr>
          <w:p w14:paraId="3D76B03E" w14:textId="77777777" w:rsidR="008D6A5D" w:rsidRDefault="00470B48" w:rsidP="008D6A5D">
            <w:pPr>
              <w:jc w:val="both"/>
              <w:rPr>
                <w:sz w:val="22"/>
                <w:szCs w:val="22"/>
              </w:rPr>
            </w:pPr>
            <w:r>
              <w:rPr>
                <w:sz w:val="22"/>
                <w:szCs w:val="22"/>
              </w:rPr>
              <w:t>It was the intention of the project team to present this significant information to Cabinet on 23/01/19 as a draft report flagged as a key decision was prepared and circulated for officer comments, however this report was never provided to Cabinet.</w:t>
            </w:r>
          </w:p>
          <w:p w14:paraId="695227CB" w14:textId="7E1D19E0" w:rsidR="00470B48" w:rsidRPr="000F584C" w:rsidRDefault="00470B48" w:rsidP="008D6A5D">
            <w:pPr>
              <w:jc w:val="both"/>
              <w:rPr>
                <w:rFonts w:cs="Arial"/>
                <w:iCs/>
                <w:sz w:val="22"/>
                <w:szCs w:val="22"/>
                <w:u w:val="single"/>
              </w:rPr>
            </w:pPr>
          </w:p>
        </w:tc>
      </w:tr>
      <w:tr w:rsidR="008D6A5D" w14:paraId="11D4072A" w14:textId="77777777" w:rsidTr="002F2DD1">
        <w:tc>
          <w:tcPr>
            <w:tcW w:w="461" w:type="dxa"/>
          </w:tcPr>
          <w:p w14:paraId="2FE5EF72" w14:textId="053A9436" w:rsidR="008D6A5D" w:rsidRDefault="00A60D52" w:rsidP="008D6A5D">
            <w:pPr>
              <w:jc w:val="both"/>
              <w:rPr>
                <w:rFonts w:cs="Arial"/>
                <w:sz w:val="22"/>
                <w:szCs w:val="22"/>
              </w:rPr>
            </w:pPr>
            <w:r>
              <w:rPr>
                <w:rFonts w:cs="Arial"/>
                <w:sz w:val="22"/>
                <w:szCs w:val="22"/>
              </w:rPr>
              <w:t>27</w:t>
            </w:r>
          </w:p>
        </w:tc>
        <w:tc>
          <w:tcPr>
            <w:tcW w:w="10200" w:type="dxa"/>
          </w:tcPr>
          <w:p w14:paraId="14D56858" w14:textId="77777777" w:rsidR="008D6A5D" w:rsidRDefault="00470B48" w:rsidP="00D2163E">
            <w:pPr>
              <w:jc w:val="both"/>
              <w:rPr>
                <w:rFonts w:cs="Arial"/>
                <w:iCs/>
                <w:sz w:val="22"/>
                <w:szCs w:val="22"/>
              </w:rPr>
            </w:pPr>
            <w:r w:rsidRPr="00470B48">
              <w:rPr>
                <w:rFonts w:cs="Arial"/>
                <w:iCs/>
                <w:sz w:val="22"/>
                <w:szCs w:val="22"/>
              </w:rPr>
              <w:t>It is evident from the content of the draft report prepared in December 2018 and a subsequent feasibility study received in late January 2019, that it was apparent to the project team that the initial allocated amount of £15 million was not going to be adequate for the planned scope of the project, with revised costings now being projected between £23-26 million.  As no further reports were</w:t>
            </w:r>
            <w:r>
              <w:rPr>
                <w:rFonts w:cs="Arial"/>
                <w:iCs/>
                <w:sz w:val="22"/>
                <w:szCs w:val="22"/>
              </w:rPr>
              <w:t xml:space="preserve"> </w:t>
            </w:r>
            <w:r w:rsidRPr="00470B48">
              <w:rPr>
                <w:rFonts w:cs="Arial"/>
                <w:iCs/>
                <w:sz w:val="22"/>
                <w:szCs w:val="22"/>
              </w:rPr>
              <w:t xml:space="preserve">provided </w:t>
            </w:r>
            <w:r w:rsidR="00E92BEA">
              <w:rPr>
                <w:rFonts w:cs="Arial"/>
                <w:iCs/>
                <w:sz w:val="22"/>
                <w:szCs w:val="22"/>
              </w:rPr>
              <w:t xml:space="preserve">to </w:t>
            </w:r>
            <w:r w:rsidRPr="00470B48">
              <w:rPr>
                <w:rFonts w:cs="Arial"/>
                <w:iCs/>
                <w:sz w:val="22"/>
                <w:szCs w:val="22"/>
              </w:rPr>
              <w:t xml:space="preserve">Campus Programme Board Meetings, Cabinet or Council, members were not formally informed of the increased projected costs associated with the project and the budget was approved in February 2019 without note </w:t>
            </w:r>
            <w:r w:rsidRPr="00470B48">
              <w:rPr>
                <w:rFonts w:cs="Arial"/>
                <w:iCs/>
                <w:sz w:val="22"/>
                <w:szCs w:val="22"/>
              </w:rPr>
              <w:lastRenderedPageBreak/>
              <w:t>or reference to these emerging costs. We are unable to ascertain from the documentation available why no further progress reports were provided to members, or the reasons why a substantial emerging cost for this flagship project was not highlighted to Cabinet or Council at this time.</w:t>
            </w:r>
          </w:p>
          <w:p w14:paraId="231FB0F2" w14:textId="533E371E" w:rsidR="00D25B0A" w:rsidRPr="000F584C" w:rsidRDefault="00D25B0A" w:rsidP="00D2163E">
            <w:pPr>
              <w:jc w:val="both"/>
              <w:rPr>
                <w:rFonts w:cs="Arial"/>
                <w:iCs/>
                <w:sz w:val="22"/>
                <w:szCs w:val="22"/>
                <w:u w:val="single"/>
              </w:rPr>
            </w:pPr>
          </w:p>
        </w:tc>
      </w:tr>
      <w:tr w:rsidR="008D6A5D" w14:paraId="6571DDF0" w14:textId="77777777" w:rsidTr="002F2DD1">
        <w:tc>
          <w:tcPr>
            <w:tcW w:w="461" w:type="dxa"/>
          </w:tcPr>
          <w:p w14:paraId="298A1204" w14:textId="4D16A7FF" w:rsidR="008D6A5D" w:rsidRDefault="00A60D52" w:rsidP="008D6A5D">
            <w:pPr>
              <w:jc w:val="both"/>
              <w:rPr>
                <w:rFonts w:cs="Arial"/>
                <w:sz w:val="22"/>
                <w:szCs w:val="22"/>
              </w:rPr>
            </w:pPr>
            <w:r>
              <w:rPr>
                <w:rFonts w:cs="Arial"/>
                <w:sz w:val="22"/>
                <w:szCs w:val="22"/>
              </w:rPr>
              <w:lastRenderedPageBreak/>
              <w:t>28</w:t>
            </w:r>
          </w:p>
        </w:tc>
        <w:tc>
          <w:tcPr>
            <w:tcW w:w="10200" w:type="dxa"/>
          </w:tcPr>
          <w:p w14:paraId="469A13E2" w14:textId="77777777" w:rsidR="008D6A5D" w:rsidRDefault="00470B48" w:rsidP="009F1A46">
            <w:pPr>
              <w:jc w:val="both"/>
              <w:rPr>
                <w:sz w:val="22"/>
                <w:szCs w:val="22"/>
              </w:rPr>
            </w:pPr>
            <w:r w:rsidRPr="009F1A46">
              <w:rPr>
                <w:rFonts w:cs="Arial"/>
                <w:iCs/>
                <w:sz w:val="22"/>
                <w:szCs w:val="22"/>
              </w:rPr>
              <w:t xml:space="preserve">The evidence in the files does confirm that the portfolio holder was issued with the draft report, however </w:t>
            </w:r>
            <w:r w:rsidR="009F1A46" w:rsidRPr="009F1A46">
              <w:rPr>
                <w:rFonts w:cs="Arial"/>
                <w:iCs/>
                <w:sz w:val="22"/>
                <w:szCs w:val="22"/>
              </w:rPr>
              <w:t>w</w:t>
            </w:r>
            <w:r w:rsidR="009F1A46" w:rsidRPr="009F1A46">
              <w:rPr>
                <w:sz w:val="22"/>
                <w:szCs w:val="22"/>
              </w:rPr>
              <w:t xml:space="preserve">hilst it is appropriate for the portfolio holder to be kept up to date, this action was not sufficient in itself to satisfy any obligations in regard to reporting / decision making. </w:t>
            </w:r>
          </w:p>
          <w:p w14:paraId="30E1E744" w14:textId="3A39630F" w:rsidR="00D2163E" w:rsidRPr="000F584C" w:rsidRDefault="00D2163E" w:rsidP="009F1A46">
            <w:pPr>
              <w:jc w:val="both"/>
              <w:rPr>
                <w:rFonts w:cs="Arial"/>
                <w:iCs/>
                <w:sz w:val="22"/>
                <w:szCs w:val="22"/>
                <w:u w:val="single"/>
              </w:rPr>
            </w:pPr>
          </w:p>
        </w:tc>
      </w:tr>
      <w:tr w:rsidR="008D6A5D" w14:paraId="2C5DF2F8" w14:textId="77777777" w:rsidTr="002F2DD1">
        <w:tc>
          <w:tcPr>
            <w:tcW w:w="461" w:type="dxa"/>
          </w:tcPr>
          <w:p w14:paraId="599C2CD8" w14:textId="68F51671" w:rsidR="008D6A5D" w:rsidRDefault="00A60D52" w:rsidP="008D6A5D">
            <w:pPr>
              <w:jc w:val="both"/>
              <w:rPr>
                <w:rFonts w:cs="Arial"/>
                <w:sz w:val="22"/>
                <w:szCs w:val="22"/>
              </w:rPr>
            </w:pPr>
            <w:r>
              <w:rPr>
                <w:rFonts w:cs="Arial"/>
                <w:sz w:val="22"/>
                <w:szCs w:val="22"/>
              </w:rPr>
              <w:t>29</w:t>
            </w:r>
          </w:p>
        </w:tc>
        <w:tc>
          <w:tcPr>
            <w:tcW w:w="10200" w:type="dxa"/>
          </w:tcPr>
          <w:p w14:paraId="76BD448F" w14:textId="3461B58F" w:rsidR="008D6A5D" w:rsidRDefault="008D6A5D" w:rsidP="008D6A5D">
            <w:pPr>
              <w:jc w:val="both"/>
              <w:rPr>
                <w:rFonts w:cs="Arial"/>
                <w:iCs/>
                <w:sz w:val="22"/>
                <w:szCs w:val="22"/>
              </w:rPr>
            </w:pPr>
            <w:r>
              <w:rPr>
                <w:sz w:val="22"/>
                <w:szCs w:val="22"/>
              </w:rPr>
              <w:t>At this point in time an opportunity was lost to advise Cabinet of the increased cost projections for the project and to allow consider</w:t>
            </w:r>
            <w:r w:rsidR="009F1A46">
              <w:rPr>
                <w:sz w:val="22"/>
                <w:szCs w:val="22"/>
              </w:rPr>
              <w:t>ation of</w:t>
            </w:r>
            <w:r>
              <w:rPr>
                <w:sz w:val="22"/>
                <w:szCs w:val="22"/>
              </w:rPr>
              <w:t xml:space="preserve"> the options that may have been available to the </w:t>
            </w:r>
            <w:r w:rsidR="00470B48">
              <w:rPr>
                <w:sz w:val="22"/>
                <w:szCs w:val="22"/>
              </w:rPr>
              <w:t>Council</w:t>
            </w:r>
            <w:r>
              <w:rPr>
                <w:sz w:val="22"/>
                <w:szCs w:val="22"/>
              </w:rPr>
              <w:t xml:space="preserve">. Further opportunities to advise Cabinet were not taken and as detailed above no </w:t>
            </w:r>
            <w:r>
              <w:rPr>
                <w:rFonts w:cs="Arial"/>
                <w:iCs/>
                <w:sz w:val="22"/>
                <w:szCs w:val="22"/>
              </w:rPr>
              <w:t>further update reports on the Health &amp; Well-being Campus were presented to Cabinet at any point thereafter</w:t>
            </w:r>
            <w:r w:rsidR="002724B4">
              <w:rPr>
                <w:rFonts w:cs="Arial"/>
                <w:iCs/>
                <w:sz w:val="22"/>
                <w:szCs w:val="22"/>
              </w:rPr>
              <w:t>.</w:t>
            </w:r>
            <w:r>
              <w:rPr>
                <w:rFonts w:cs="Arial"/>
                <w:iCs/>
                <w:sz w:val="22"/>
                <w:szCs w:val="22"/>
              </w:rPr>
              <w:t xml:space="preserve"> </w:t>
            </w:r>
            <w:r w:rsidR="002724B4">
              <w:rPr>
                <w:rFonts w:cs="Arial"/>
                <w:iCs/>
                <w:sz w:val="22"/>
                <w:szCs w:val="22"/>
              </w:rPr>
              <w:t>A report provi</w:t>
            </w:r>
            <w:r w:rsidR="00C61C14">
              <w:rPr>
                <w:rFonts w:cs="Arial"/>
                <w:iCs/>
                <w:sz w:val="22"/>
                <w:szCs w:val="22"/>
              </w:rPr>
              <w:t>di</w:t>
            </w:r>
            <w:r w:rsidR="002724B4">
              <w:rPr>
                <w:rFonts w:cs="Arial"/>
                <w:iCs/>
                <w:sz w:val="22"/>
                <w:szCs w:val="22"/>
              </w:rPr>
              <w:t xml:space="preserve">ng a history </w:t>
            </w:r>
            <w:r w:rsidR="007E3D42">
              <w:rPr>
                <w:rFonts w:cs="Arial"/>
                <w:iCs/>
                <w:sz w:val="22"/>
                <w:szCs w:val="22"/>
              </w:rPr>
              <w:t>of the</w:t>
            </w:r>
            <w:r w:rsidR="002724B4">
              <w:rPr>
                <w:rFonts w:cs="Arial"/>
                <w:iCs/>
                <w:sz w:val="22"/>
                <w:szCs w:val="22"/>
              </w:rPr>
              <w:t xml:space="preserve"> Leisure Campus was provided to Council </w:t>
            </w:r>
            <w:r w:rsidR="00AE6D1E">
              <w:rPr>
                <w:rFonts w:cs="Arial"/>
                <w:iCs/>
                <w:sz w:val="22"/>
                <w:szCs w:val="22"/>
              </w:rPr>
              <w:t xml:space="preserve">on </w:t>
            </w:r>
            <w:r>
              <w:rPr>
                <w:rFonts w:cs="Arial"/>
                <w:iCs/>
                <w:sz w:val="22"/>
                <w:szCs w:val="22"/>
              </w:rPr>
              <w:t xml:space="preserve">September </w:t>
            </w:r>
            <w:r w:rsidR="002724B4">
              <w:rPr>
                <w:rFonts w:cs="Arial"/>
                <w:iCs/>
                <w:sz w:val="22"/>
                <w:szCs w:val="22"/>
              </w:rPr>
              <w:t>2019</w:t>
            </w:r>
            <w:r>
              <w:rPr>
                <w:rFonts w:cs="Arial"/>
                <w:iCs/>
                <w:sz w:val="22"/>
                <w:szCs w:val="22"/>
              </w:rPr>
              <w:t xml:space="preserve">. </w:t>
            </w:r>
          </w:p>
          <w:p w14:paraId="439F2B58" w14:textId="4C4E989F" w:rsidR="008D6A5D" w:rsidRDefault="008D6A5D" w:rsidP="008D6A5D">
            <w:pPr>
              <w:jc w:val="both"/>
              <w:rPr>
                <w:sz w:val="22"/>
                <w:szCs w:val="22"/>
              </w:rPr>
            </w:pPr>
          </w:p>
          <w:p w14:paraId="58749689" w14:textId="61AED7C4" w:rsidR="008D6A5D" w:rsidRPr="00C51482" w:rsidRDefault="008D6A5D" w:rsidP="008D6A5D">
            <w:pPr>
              <w:pStyle w:val="ListParagraph"/>
              <w:numPr>
                <w:ilvl w:val="0"/>
                <w:numId w:val="4"/>
              </w:numPr>
              <w:ind w:left="549" w:hanging="284"/>
              <w:jc w:val="both"/>
              <w:rPr>
                <w:rFonts w:cs="Arial"/>
                <w:iCs/>
                <w:sz w:val="22"/>
                <w:szCs w:val="22"/>
              </w:rPr>
            </w:pPr>
            <w:r>
              <w:rPr>
                <w:rFonts w:cs="Arial"/>
                <w:iCs/>
                <w:sz w:val="22"/>
                <w:szCs w:val="22"/>
              </w:rPr>
              <w:t>During this period the design team, Faith</w:t>
            </w:r>
            <w:r w:rsidR="00E92BEA">
              <w:rPr>
                <w:rFonts w:cs="Arial"/>
                <w:iCs/>
                <w:sz w:val="22"/>
                <w:szCs w:val="22"/>
              </w:rPr>
              <w:t>ful</w:t>
            </w:r>
            <w:r>
              <w:rPr>
                <w:rFonts w:cs="Arial"/>
                <w:iCs/>
                <w:sz w:val="22"/>
                <w:szCs w:val="22"/>
              </w:rPr>
              <w:t xml:space="preserve"> &amp; Gould</w:t>
            </w:r>
            <w:r w:rsidR="00E92BEA">
              <w:rPr>
                <w:rFonts w:cs="Arial"/>
                <w:iCs/>
                <w:sz w:val="22"/>
                <w:szCs w:val="22"/>
              </w:rPr>
              <w:t xml:space="preserve"> Ltd</w:t>
            </w:r>
            <w:r>
              <w:rPr>
                <w:rFonts w:cs="Arial"/>
                <w:iCs/>
                <w:sz w:val="22"/>
                <w:szCs w:val="22"/>
              </w:rPr>
              <w:t xml:space="preserve"> continued to submit ongoing invoices</w:t>
            </w:r>
            <w:r w:rsidR="009F1A46">
              <w:rPr>
                <w:rFonts w:cs="Arial"/>
                <w:iCs/>
                <w:sz w:val="22"/>
                <w:szCs w:val="22"/>
              </w:rPr>
              <w:t xml:space="preserve"> as per the agreed payment schedule </w:t>
            </w:r>
            <w:r>
              <w:rPr>
                <w:rFonts w:cs="Arial"/>
                <w:iCs/>
                <w:sz w:val="22"/>
                <w:szCs w:val="22"/>
              </w:rPr>
              <w:t>for their continuing work against their agreed fees of £1.8 million with a total amount of £600,000 paid out.</w:t>
            </w:r>
          </w:p>
          <w:p w14:paraId="423EA05E" w14:textId="77777777" w:rsidR="008D6A5D" w:rsidRDefault="008D6A5D" w:rsidP="008D6A5D">
            <w:pPr>
              <w:jc w:val="both"/>
              <w:rPr>
                <w:sz w:val="22"/>
                <w:szCs w:val="22"/>
              </w:rPr>
            </w:pPr>
          </w:p>
          <w:p w14:paraId="27F3F3F6" w14:textId="3817E6F6" w:rsidR="008D6A5D" w:rsidRPr="002B20D0" w:rsidRDefault="008D6A5D" w:rsidP="008D6A5D">
            <w:pPr>
              <w:jc w:val="both"/>
              <w:rPr>
                <w:rFonts w:cs="Arial"/>
                <w:sz w:val="22"/>
                <w:szCs w:val="22"/>
              </w:rPr>
            </w:pPr>
            <w:r>
              <w:rPr>
                <w:sz w:val="22"/>
                <w:szCs w:val="22"/>
              </w:rPr>
              <w:t>Supporting evidence available for review does not provide insight to the reasons for the non-submission of the drafted report to the meeting of 21/01/19 and the subsequent lack of reporting to Cabinet.</w:t>
            </w:r>
          </w:p>
          <w:p w14:paraId="5771307C" w14:textId="13CDC07E" w:rsidR="008D6A5D" w:rsidRPr="0059255B" w:rsidRDefault="008D6A5D" w:rsidP="008D6A5D"/>
        </w:tc>
      </w:tr>
      <w:tr w:rsidR="00DD61F7" w14:paraId="3D9F2D74" w14:textId="77777777" w:rsidTr="002F2DD1">
        <w:tc>
          <w:tcPr>
            <w:tcW w:w="461" w:type="dxa"/>
          </w:tcPr>
          <w:p w14:paraId="2C6387C2" w14:textId="254E5FA3" w:rsidR="00DD61F7" w:rsidRDefault="00A60D52" w:rsidP="008D6A5D">
            <w:pPr>
              <w:jc w:val="both"/>
              <w:rPr>
                <w:rFonts w:cs="Arial"/>
                <w:sz w:val="22"/>
                <w:szCs w:val="22"/>
              </w:rPr>
            </w:pPr>
            <w:r>
              <w:rPr>
                <w:rFonts w:cs="Arial"/>
                <w:sz w:val="22"/>
                <w:szCs w:val="22"/>
              </w:rPr>
              <w:t>30</w:t>
            </w:r>
          </w:p>
        </w:tc>
        <w:tc>
          <w:tcPr>
            <w:tcW w:w="10200" w:type="dxa"/>
          </w:tcPr>
          <w:p w14:paraId="1E9FA34B" w14:textId="527CD6EA" w:rsidR="00DD61F7" w:rsidRPr="00DD61F7" w:rsidRDefault="00DD61F7" w:rsidP="00DD61F7">
            <w:pPr>
              <w:spacing w:before="120" w:after="120"/>
              <w:rPr>
                <w:rFonts w:cs="Arial"/>
                <w:sz w:val="22"/>
                <w:szCs w:val="22"/>
                <w:lang w:eastAsia="en-GB"/>
              </w:rPr>
            </w:pPr>
            <w:r>
              <w:rPr>
                <w:rFonts w:cs="Arial"/>
                <w:sz w:val="22"/>
                <w:szCs w:val="22"/>
                <w:lang w:eastAsia="en-GB"/>
              </w:rPr>
              <w:t xml:space="preserve">Review of the evidence </w:t>
            </w:r>
            <w:r w:rsidR="009F1A46">
              <w:rPr>
                <w:rFonts w:cs="Arial"/>
                <w:sz w:val="22"/>
                <w:szCs w:val="22"/>
                <w:lang w:eastAsia="en-GB"/>
              </w:rPr>
              <w:t xml:space="preserve">does however </w:t>
            </w:r>
            <w:r>
              <w:rPr>
                <w:rFonts w:cs="Arial"/>
                <w:sz w:val="22"/>
                <w:szCs w:val="22"/>
                <w:lang w:eastAsia="en-GB"/>
              </w:rPr>
              <w:t xml:space="preserve">confirm that senior officers of the Council were aware of the emerging costs during December 2018.   </w:t>
            </w:r>
            <w:r w:rsidRPr="00DD61F7">
              <w:rPr>
                <w:rFonts w:cs="Arial"/>
                <w:sz w:val="22"/>
                <w:szCs w:val="22"/>
                <w:lang w:eastAsia="en-GB"/>
              </w:rPr>
              <w:t xml:space="preserve">The Financial Regulations are clear in regard to all expenditure, including </w:t>
            </w:r>
            <w:r>
              <w:rPr>
                <w:rFonts w:cs="Arial"/>
                <w:sz w:val="22"/>
                <w:szCs w:val="22"/>
                <w:lang w:eastAsia="en-GB"/>
              </w:rPr>
              <w:t>c</w:t>
            </w:r>
            <w:r w:rsidRPr="00DD61F7">
              <w:rPr>
                <w:rFonts w:cs="Arial"/>
                <w:sz w:val="22"/>
                <w:szCs w:val="22"/>
                <w:lang w:eastAsia="en-GB"/>
              </w:rPr>
              <w:t xml:space="preserve">apital </w:t>
            </w:r>
            <w:r>
              <w:rPr>
                <w:rFonts w:cs="Arial"/>
                <w:sz w:val="22"/>
                <w:szCs w:val="22"/>
                <w:lang w:eastAsia="en-GB"/>
              </w:rPr>
              <w:t>e</w:t>
            </w:r>
            <w:r w:rsidRPr="00DD61F7">
              <w:rPr>
                <w:rFonts w:cs="Arial"/>
                <w:sz w:val="22"/>
                <w:szCs w:val="22"/>
                <w:lang w:eastAsia="en-GB"/>
              </w:rPr>
              <w:t xml:space="preserve">xpenditure, in </w:t>
            </w:r>
            <w:r w:rsidR="007E3D42" w:rsidRPr="00DD61F7">
              <w:rPr>
                <w:rFonts w:cs="Arial"/>
                <w:sz w:val="22"/>
                <w:szCs w:val="22"/>
                <w:lang w:eastAsia="en-GB"/>
              </w:rPr>
              <w:t>that: -</w:t>
            </w:r>
          </w:p>
          <w:p w14:paraId="6D48459E" w14:textId="77777777" w:rsidR="00DD61F7" w:rsidRPr="00DD61F7" w:rsidRDefault="00DD61F7" w:rsidP="00DD61F7">
            <w:pPr>
              <w:pStyle w:val="ListParagraph"/>
              <w:numPr>
                <w:ilvl w:val="0"/>
                <w:numId w:val="4"/>
              </w:numPr>
              <w:spacing w:before="120" w:after="120"/>
              <w:contextualSpacing/>
              <w:rPr>
                <w:rFonts w:cs="Arial"/>
                <w:sz w:val="22"/>
                <w:szCs w:val="22"/>
                <w:lang w:eastAsia="en-GB"/>
              </w:rPr>
            </w:pPr>
            <w:r w:rsidRPr="00DD61F7">
              <w:rPr>
                <w:rFonts w:cs="Arial"/>
                <w:sz w:val="22"/>
                <w:szCs w:val="22"/>
                <w:lang w:eastAsia="en-GB"/>
              </w:rPr>
              <w:t>Chief Officers are required to ensure that throughout the implementation period of a capital scheme, the specification remains consistent with the overall objectives of the scheme and that expenditure continues to deliver best value for money for the Council;</w:t>
            </w:r>
          </w:p>
          <w:p w14:paraId="08A3A248" w14:textId="6119DA6F" w:rsidR="00DD61F7" w:rsidRDefault="00DD61F7" w:rsidP="00DD61F7">
            <w:pPr>
              <w:pStyle w:val="ListParagraph"/>
              <w:numPr>
                <w:ilvl w:val="0"/>
                <w:numId w:val="4"/>
              </w:numPr>
              <w:spacing w:before="120" w:after="120"/>
              <w:contextualSpacing/>
              <w:rPr>
                <w:rFonts w:cs="Arial"/>
                <w:sz w:val="22"/>
                <w:szCs w:val="22"/>
                <w:lang w:eastAsia="en-GB"/>
              </w:rPr>
            </w:pPr>
            <w:r w:rsidRPr="00DD61F7">
              <w:rPr>
                <w:rFonts w:cs="Arial"/>
                <w:sz w:val="22"/>
                <w:szCs w:val="22"/>
                <w:lang w:eastAsia="en-GB"/>
              </w:rPr>
              <w:t>Chief Officers must monitor and report capital expenditure and income for all schemes within the approved capital programme and identify any variations against the approved level of expenditure</w:t>
            </w:r>
            <w:r w:rsidR="009F1A46">
              <w:rPr>
                <w:rFonts w:cs="Arial"/>
                <w:sz w:val="22"/>
                <w:szCs w:val="22"/>
                <w:lang w:eastAsia="en-GB"/>
              </w:rPr>
              <w:t>.</w:t>
            </w:r>
          </w:p>
          <w:p w14:paraId="015BE650" w14:textId="3D512219" w:rsidR="00DD61F7" w:rsidRPr="00DD61F7" w:rsidRDefault="00DD61F7" w:rsidP="00DD61F7">
            <w:pPr>
              <w:pStyle w:val="ListParagraph"/>
              <w:autoSpaceDE w:val="0"/>
              <w:autoSpaceDN w:val="0"/>
              <w:adjustRightInd w:val="0"/>
              <w:rPr>
                <w:rFonts w:ascii="ArialMT" w:hAnsi="ArialMT" w:cs="ArialMT"/>
                <w:sz w:val="22"/>
                <w:szCs w:val="22"/>
                <w:lang w:eastAsia="en-GB"/>
              </w:rPr>
            </w:pPr>
          </w:p>
        </w:tc>
      </w:tr>
      <w:tr w:rsidR="009F1A46" w14:paraId="3FA9625D" w14:textId="77777777" w:rsidTr="002F2DD1">
        <w:tc>
          <w:tcPr>
            <w:tcW w:w="461" w:type="dxa"/>
          </w:tcPr>
          <w:p w14:paraId="7D0CAC87" w14:textId="079B8F17" w:rsidR="009F1A46" w:rsidRDefault="00A60D52" w:rsidP="008D6A5D">
            <w:pPr>
              <w:jc w:val="both"/>
              <w:rPr>
                <w:rFonts w:cs="Arial"/>
                <w:sz w:val="22"/>
                <w:szCs w:val="22"/>
              </w:rPr>
            </w:pPr>
            <w:r>
              <w:rPr>
                <w:rFonts w:cs="Arial"/>
                <w:sz w:val="22"/>
                <w:szCs w:val="22"/>
              </w:rPr>
              <w:t>31</w:t>
            </w:r>
          </w:p>
        </w:tc>
        <w:tc>
          <w:tcPr>
            <w:tcW w:w="10200" w:type="dxa"/>
          </w:tcPr>
          <w:p w14:paraId="6A43A1F7" w14:textId="0E839171" w:rsidR="009F1A46" w:rsidRDefault="009F1A46" w:rsidP="00DD61F7">
            <w:pPr>
              <w:spacing w:before="120" w:after="120"/>
              <w:rPr>
                <w:rFonts w:cs="Arial"/>
                <w:sz w:val="22"/>
                <w:szCs w:val="22"/>
                <w:lang w:eastAsia="en-GB"/>
              </w:rPr>
            </w:pPr>
            <w:r>
              <w:rPr>
                <w:rFonts w:cs="Arial"/>
                <w:sz w:val="22"/>
                <w:szCs w:val="22"/>
                <w:lang w:eastAsia="en-GB"/>
              </w:rPr>
              <w:t>In addition to the non</w:t>
            </w:r>
            <w:r w:rsidR="00214730">
              <w:rPr>
                <w:rFonts w:cs="Arial"/>
                <w:sz w:val="22"/>
                <w:szCs w:val="22"/>
                <w:lang w:eastAsia="en-GB"/>
              </w:rPr>
              <w:t>-</w:t>
            </w:r>
            <w:r>
              <w:rPr>
                <w:rFonts w:cs="Arial"/>
                <w:sz w:val="22"/>
                <w:szCs w:val="22"/>
                <w:lang w:eastAsia="en-GB"/>
              </w:rPr>
              <w:t xml:space="preserve">compliance with the Councils FPRs, there is also a disregard by senior officers to </w:t>
            </w:r>
            <w:r w:rsidR="006D1A11">
              <w:rPr>
                <w:rFonts w:cs="Arial"/>
                <w:sz w:val="22"/>
                <w:szCs w:val="22"/>
                <w:lang w:eastAsia="en-GB"/>
              </w:rPr>
              <w:t xml:space="preserve">refer all decisions above £100,000 to Cabinet.   Senior officers allowed the project to continue in the knowledge that the initial agreed budget was insufficient and that further approval to increase the budget would be required.   </w:t>
            </w:r>
          </w:p>
        </w:tc>
      </w:tr>
      <w:tr w:rsidR="006D1A11" w14:paraId="3077BCB5" w14:textId="77777777" w:rsidTr="002F2DD1">
        <w:tc>
          <w:tcPr>
            <w:tcW w:w="461" w:type="dxa"/>
          </w:tcPr>
          <w:p w14:paraId="04EA420E" w14:textId="57CB7A39" w:rsidR="006D1A11" w:rsidRDefault="00A60D52" w:rsidP="008D6A5D">
            <w:pPr>
              <w:jc w:val="both"/>
              <w:rPr>
                <w:rFonts w:cs="Arial"/>
                <w:sz w:val="22"/>
                <w:szCs w:val="22"/>
              </w:rPr>
            </w:pPr>
            <w:r>
              <w:rPr>
                <w:rFonts w:cs="Arial"/>
                <w:sz w:val="22"/>
                <w:szCs w:val="22"/>
              </w:rPr>
              <w:t>32</w:t>
            </w:r>
          </w:p>
        </w:tc>
        <w:tc>
          <w:tcPr>
            <w:tcW w:w="10200" w:type="dxa"/>
          </w:tcPr>
          <w:p w14:paraId="29F4D40D" w14:textId="11DDB01C" w:rsidR="00B36D3F" w:rsidRDefault="006D1A11" w:rsidP="00B36D3F">
            <w:pPr>
              <w:spacing w:before="120" w:after="120"/>
              <w:rPr>
                <w:rFonts w:cs="Arial"/>
                <w:sz w:val="22"/>
                <w:szCs w:val="22"/>
                <w:lang w:eastAsia="en-GB"/>
              </w:rPr>
            </w:pPr>
            <w:r w:rsidRPr="002F2DD1">
              <w:rPr>
                <w:rFonts w:cs="Arial"/>
                <w:sz w:val="22"/>
                <w:szCs w:val="22"/>
                <w:lang w:eastAsia="en-GB"/>
              </w:rPr>
              <w:t>The report to C</w:t>
            </w:r>
            <w:r w:rsidR="006600BB" w:rsidRPr="002F2DD1">
              <w:rPr>
                <w:rFonts w:cs="Arial"/>
                <w:sz w:val="22"/>
                <w:szCs w:val="22"/>
                <w:lang w:eastAsia="en-GB"/>
              </w:rPr>
              <w:t>ouncil</w:t>
            </w:r>
            <w:r w:rsidRPr="002F2DD1">
              <w:rPr>
                <w:rFonts w:cs="Arial"/>
                <w:sz w:val="22"/>
                <w:szCs w:val="22"/>
                <w:lang w:eastAsia="en-GB"/>
              </w:rPr>
              <w:t xml:space="preserve"> in September 20</w:t>
            </w:r>
            <w:r w:rsidR="006600BB" w:rsidRPr="002F2DD1">
              <w:rPr>
                <w:rFonts w:cs="Arial"/>
                <w:sz w:val="22"/>
                <w:szCs w:val="22"/>
                <w:lang w:eastAsia="en-GB"/>
              </w:rPr>
              <w:t>19</w:t>
            </w:r>
            <w:r w:rsidRPr="002F2DD1">
              <w:rPr>
                <w:rFonts w:cs="Arial"/>
                <w:sz w:val="22"/>
                <w:szCs w:val="22"/>
                <w:lang w:eastAsia="en-GB"/>
              </w:rPr>
              <w:t xml:space="preserve"> </w:t>
            </w:r>
            <w:r w:rsidR="00B36D3F" w:rsidRPr="002F2DD1">
              <w:rPr>
                <w:rFonts w:cs="Arial"/>
                <w:sz w:val="22"/>
                <w:szCs w:val="22"/>
                <w:lang w:eastAsia="en-GB"/>
              </w:rPr>
              <w:t>provided</w:t>
            </w:r>
            <w:r w:rsidR="00560B28" w:rsidRPr="002F2DD1">
              <w:rPr>
                <w:rFonts w:cs="Arial"/>
                <w:sz w:val="22"/>
                <w:szCs w:val="22"/>
                <w:lang w:eastAsia="en-GB"/>
              </w:rPr>
              <w:t xml:space="preserve"> a</w:t>
            </w:r>
            <w:r w:rsidR="00B36D3F" w:rsidRPr="002F2DD1">
              <w:rPr>
                <w:rFonts w:cs="Arial"/>
                <w:sz w:val="22"/>
                <w:szCs w:val="22"/>
                <w:lang w:eastAsia="en-GB"/>
              </w:rPr>
              <w:t xml:space="preserve"> history of the Health &amp; Wellbeing Leisure Campus project to the new administration</w:t>
            </w:r>
            <w:r w:rsidR="00560B28" w:rsidRPr="002F2DD1">
              <w:rPr>
                <w:rFonts w:cs="Arial"/>
                <w:sz w:val="22"/>
                <w:szCs w:val="22"/>
                <w:lang w:eastAsia="en-GB"/>
              </w:rPr>
              <w:t xml:space="preserve"> of the Council</w:t>
            </w:r>
            <w:r w:rsidR="00B36D3F" w:rsidRPr="002F2DD1">
              <w:rPr>
                <w:rFonts w:cs="Arial"/>
                <w:sz w:val="22"/>
                <w:szCs w:val="22"/>
                <w:lang w:eastAsia="en-GB"/>
              </w:rPr>
              <w:t xml:space="preserve"> that had come into effect </w:t>
            </w:r>
            <w:r w:rsidR="00560B28" w:rsidRPr="002F2DD1">
              <w:rPr>
                <w:rFonts w:cs="Arial"/>
                <w:sz w:val="22"/>
                <w:szCs w:val="22"/>
                <w:lang w:eastAsia="en-GB"/>
              </w:rPr>
              <w:t>after the local elections in</w:t>
            </w:r>
            <w:r w:rsidR="00B36D3F" w:rsidRPr="002F2DD1">
              <w:rPr>
                <w:rFonts w:cs="Arial"/>
                <w:sz w:val="22"/>
                <w:szCs w:val="22"/>
                <w:lang w:eastAsia="en-GB"/>
              </w:rPr>
              <w:t xml:space="preserve"> May 2019. It outlined an up to date assessment of </w:t>
            </w:r>
            <w:r w:rsidR="00560B28" w:rsidRPr="002F2DD1">
              <w:rPr>
                <w:rFonts w:cs="Arial"/>
                <w:sz w:val="22"/>
                <w:szCs w:val="22"/>
                <w:lang w:eastAsia="en-GB"/>
              </w:rPr>
              <w:t>the status of the project</w:t>
            </w:r>
            <w:r w:rsidR="00B36D3F" w:rsidRPr="002F2DD1">
              <w:rPr>
                <w:rFonts w:cs="Arial"/>
                <w:sz w:val="22"/>
                <w:szCs w:val="22"/>
                <w:lang w:eastAsia="en-GB"/>
              </w:rPr>
              <w:t xml:space="preserve">, </w:t>
            </w:r>
            <w:r w:rsidR="00560B28" w:rsidRPr="002F2DD1">
              <w:rPr>
                <w:rFonts w:cs="Arial"/>
                <w:sz w:val="22"/>
                <w:szCs w:val="22"/>
                <w:lang w:eastAsia="en-GB"/>
              </w:rPr>
              <w:t xml:space="preserve">an </w:t>
            </w:r>
            <w:r w:rsidR="00B36D3F" w:rsidRPr="002F2DD1">
              <w:rPr>
                <w:rFonts w:cs="Arial"/>
                <w:sz w:val="22"/>
                <w:szCs w:val="22"/>
                <w:lang w:eastAsia="en-GB"/>
              </w:rPr>
              <w:t xml:space="preserve">understanding of the state of Leisure stock within the borough, the options available for potential next steps and a summary of the operations management arrangements for South </w:t>
            </w:r>
            <w:proofErr w:type="spellStart"/>
            <w:r w:rsidR="00B36D3F" w:rsidRPr="002F2DD1">
              <w:rPr>
                <w:rFonts w:cs="Arial"/>
                <w:sz w:val="22"/>
                <w:szCs w:val="22"/>
                <w:lang w:eastAsia="en-GB"/>
              </w:rPr>
              <w:t>Ribble’s</w:t>
            </w:r>
            <w:proofErr w:type="spellEnd"/>
            <w:r w:rsidR="00B36D3F" w:rsidRPr="002F2DD1">
              <w:rPr>
                <w:rFonts w:cs="Arial"/>
                <w:sz w:val="22"/>
                <w:szCs w:val="22"/>
                <w:lang w:eastAsia="en-GB"/>
              </w:rPr>
              <w:t xml:space="preserve"> Leisure Centres.</w:t>
            </w:r>
          </w:p>
        </w:tc>
      </w:tr>
    </w:tbl>
    <w:p w14:paraId="29576C0D" w14:textId="77777777" w:rsidR="009A3F4B" w:rsidRDefault="009A3F4B" w:rsidP="00B75DCB">
      <w:pPr>
        <w:rPr>
          <w:rFonts w:cs="Arial"/>
          <w:szCs w:val="24"/>
        </w:rPr>
      </w:pPr>
    </w:p>
    <w:p w14:paraId="1D257E0B" w14:textId="77777777" w:rsidR="00F32EF2" w:rsidRDefault="00F32EF2" w:rsidP="00514D84">
      <w:pPr>
        <w:jc w:val="right"/>
        <w:rPr>
          <w:rFonts w:cs="Arial"/>
          <w:sz w:val="16"/>
          <w:szCs w:val="16"/>
        </w:rPr>
      </w:pPr>
    </w:p>
    <w:p w14:paraId="61B3F3E6" w14:textId="77777777" w:rsidR="00271328" w:rsidRDefault="00271328" w:rsidP="00514D84">
      <w:pPr>
        <w:jc w:val="right"/>
        <w:rPr>
          <w:rFonts w:cs="Arial"/>
          <w:sz w:val="16"/>
          <w:szCs w:val="16"/>
        </w:rPr>
      </w:pPr>
    </w:p>
    <w:p w14:paraId="60399E65" w14:textId="77777777" w:rsidR="00271328" w:rsidRDefault="00271328" w:rsidP="00514D84">
      <w:pPr>
        <w:jc w:val="right"/>
        <w:rPr>
          <w:rFonts w:cs="Arial"/>
          <w:sz w:val="16"/>
          <w:szCs w:val="16"/>
        </w:rPr>
      </w:pPr>
    </w:p>
    <w:p w14:paraId="16CFF379" w14:textId="77777777" w:rsidR="00271328" w:rsidRDefault="00271328" w:rsidP="00514D84">
      <w:pPr>
        <w:jc w:val="right"/>
        <w:rPr>
          <w:rFonts w:cs="Arial"/>
          <w:sz w:val="16"/>
          <w:szCs w:val="16"/>
        </w:rPr>
      </w:pPr>
    </w:p>
    <w:p w14:paraId="49BD7067" w14:textId="77777777" w:rsidR="00271328" w:rsidRDefault="00271328" w:rsidP="00514D84">
      <w:pPr>
        <w:jc w:val="right"/>
        <w:rPr>
          <w:rFonts w:cs="Arial"/>
          <w:sz w:val="16"/>
          <w:szCs w:val="16"/>
        </w:rPr>
      </w:pPr>
    </w:p>
    <w:p w14:paraId="7B40CC62" w14:textId="77777777" w:rsidR="00271328" w:rsidRDefault="00271328" w:rsidP="00514D84">
      <w:pPr>
        <w:jc w:val="right"/>
        <w:rPr>
          <w:rFonts w:cs="Arial"/>
          <w:sz w:val="16"/>
          <w:szCs w:val="16"/>
        </w:rPr>
      </w:pPr>
    </w:p>
    <w:p w14:paraId="5FD5F969" w14:textId="77777777" w:rsidR="00271328" w:rsidRDefault="00271328" w:rsidP="00514D84">
      <w:pPr>
        <w:jc w:val="right"/>
        <w:rPr>
          <w:rFonts w:cs="Arial"/>
          <w:sz w:val="16"/>
          <w:szCs w:val="16"/>
        </w:rPr>
      </w:pPr>
    </w:p>
    <w:p w14:paraId="3376A0FA" w14:textId="77777777" w:rsidR="00271328" w:rsidRDefault="00271328" w:rsidP="00514D84">
      <w:pPr>
        <w:jc w:val="right"/>
        <w:rPr>
          <w:rFonts w:cs="Arial"/>
          <w:sz w:val="16"/>
          <w:szCs w:val="16"/>
        </w:rPr>
      </w:pPr>
    </w:p>
    <w:p w14:paraId="2201E8A9" w14:textId="77777777" w:rsidR="002F2DD1" w:rsidRDefault="002F2DD1" w:rsidP="00862653">
      <w:pPr>
        <w:ind w:left="1440"/>
        <w:jc w:val="right"/>
        <w:rPr>
          <w:sz w:val="16"/>
          <w:szCs w:val="16"/>
        </w:rPr>
      </w:pPr>
    </w:p>
    <w:p w14:paraId="55FEF541" w14:textId="77777777" w:rsidR="002F2DD1" w:rsidRDefault="002F2DD1" w:rsidP="00862653">
      <w:pPr>
        <w:ind w:left="1440"/>
        <w:jc w:val="right"/>
        <w:rPr>
          <w:sz w:val="16"/>
          <w:szCs w:val="16"/>
        </w:rPr>
      </w:pPr>
    </w:p>
    <w:p w14:paraId="5795CE45" w14:textId="77777777" w:rsidR="002F2DD1" w:rsidRDefault="002F2DD1" w:rsidP="00862653">
      <w:pPr>
        <w:ind w:left="1440"/>
        <w:jc w:val="right"/>
        <w:rPr>
          <w:sz w:val="16"/>
          <w:szCs w:val="16"/>
        </w:rPr>
      </w:pPr>
    </w:p>
    <w:p w14:paraId="739BE203" w14:textId="77777777" w:rsidR="002F2DD1" w:rsidRDefault="002F2DD1" w:rsidP="00862653">
      <w:pPr>
        <w:ind w:left="1440"/>
        <w:jc w:val="right"/>
        <w:rPr>
          <w:sz w:val="16"/>
          <w:szCs w:val="16"/>
        </w:rPr>
      </w:pPr>
    </w:p>
    <w:p w14:paraId="63B6512C" w14:textId="77777777" w:rsidR="002F2DD1" w:rsidRDefault="002F2DD1" w:rsidP="00862653">
      <w:pPr>
        <w:ind w:left="1440"/>
        <w:jc w:val="right"/>
        <w:rPr>
          <w:sz w:val="16"/>
          <w:szCs w:val="16"/>
        </w:rPr>
      </w:pPr>
    </w:p>
    <w:p w14:paraId="286DA562" w14:textId="35D64B67" w:rsidR="002F2DD1" w:rsidRDefault="002F2DD1" w:rsidP="00862653">
      <w:pPr>
        <w:ind w:left="1440"/>
        <w:jc w:val="right"/>
        <w:rPr>
          <w:sz w:val="16"/>
          <w:szCs w:val="16"/>
        </w:rPr>
      </w:pPr>
    </w:p>
    <w:p w14:paraId="1EE9FD3A" w14:textId="77777777" w:rsidR="0041642A" w:rsidRDefault="0041642A" w:rsidP="00862653">
      <w:pPr>
        <w:ind w:left="1440"/>
        <w:jc w:val="right"/>
        <w:rPr>
          <w:sz w:val="16"/>
          <w:szCs w:val="16"/>
        </w:rPr>
        <w:sectPr w:rsidR="0041642A" w:rsidSect="002F2DD1">
          <w:headerReference w:type="default" r:id="rId11"/>
          <w:pgSz w:w="11907" w:h="16839" w:code="9"/>
          <w:pgMar w:top="822" w:right="1797" w:bottom="1276" w:left="1701" w:header="720" w:footer="720" w:gutter="0"/>
          <w:cols w:space="720"/>
        </w:sectPr>
      </w:pPr>
    </w:p>
    <w:tbl>
      <w:tblPr>
        <w:tblW w:w="15451"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6830"/>
        <w:gridCol w:w="7911"/>
      </w:tblGrid>
      <w:tr w:rsidR="00216DF3" w:rsidRPr="00AC0970" w14:paraId="006165DC" w14:textId="77777777" w:rsidTr="00216DF3">
        <w:tc>
          <w:tcPr>
            <w:tcW w:w="710" w:type="dxa"/>
            <w:tcBorders>
              <w:top w:val="single" w:sz="6" w:space="0" w:color="auto"/>
              <w:bottom w:val="single" w:sz="4" w:space="0" w:color="auto"/>
              <w:right w:val="nil"/>
            </w:tcBorders>
            <w:shd w:val="clear" w:color="auto" w:fill="3399FF"/>
            <w:vAlign w:val="center"/>
          </w:tcPr>
          <w:p w14:paraId="293250AA" w14:textId="77777777" w:rsidR="00216DF3" w:rsidRPr="00AC0970" w:rsidRDefault="00216DF3" w:rsidP="001A4E60">
            <w:pPr>
              <w:jc w:val="center"/>
              <w:rPr>
                <w:b/>
                <w:sz w:val="20"/>
                <w:lang w:val="en-US" w:eastAsia="en-GB"/>
              </w:rPr>
            </w:pPr>
            <w:r w:rsidRPr="00AC0970">
              <w:rPr>
                <w:b/>
                <w:sz w:val="20"/>
                <w:lang w:val="en-US" w:eastAsia="en-GB"/>
              </w:rPr>
              <w:lastRenderedPageBreak/>
              <w:t>NO.</w:t>
            </w:r>
          </w:p>
        </w:tc>
        <w:tc>
          <w:tcPr>
            <w:tcW w:w="6830" w:type="dxa"/>
            <w:tcBorders>
              <w:top w:val="single" w:sz="6" w:space="0" w:color="auto"/>
              <w:left w:val="single" w:sz="6" w:space="0" w:color="auto"/>
              <w:bottom w:val="single" w:sz="4" w:space="0" w:color="auto"/>
              <w:right w:val="single" w:sz="6" w:space="0" w:color="auto"/>
            </w:tcBorders>
            <w:shd w:val="clear" w:color="auto" w:fill="3399FF"/>
            <w:vAlign w:val="center"/>
          </w:tcPr>
          <w:p w14:paraId="0A4D5DD5" w14:textId="0C39A8EF" w:rsidR="00216DF3" w:rsidRPr="00AC0970" w:rsidRDefault="00216DF3" w:rsidP="001A4E60">
            <w:pPr>
              <w:jc w:val="center"/>
              <w:rPr>
                <w:b/>
                <w:sz w:val="20"/>
                <w:lang w:val="en-US" w:eastAsia="en-GB"/>
              </w:rPr>
            </w:pPr>
            <w:r>
              <w:rPr>
                <w:b/>
                <w:sz w:val="20"/>
                <w:lang w:val="en-US" w:eastAsia="en-GB"/>
              </w:rPr>
              <w:t>FINDING</w:t>
            </w:r>
          </w:p>
        </w:tc>
        <w:tc>
          <w:tcPr>
            <w:tcW w:w="7911" w:type="dxa"/>
            <w:tcBorders>
              <w:top w:val="single" w:sz="6" w:space="0" w:color="auto"/>
              <w:left w:val="single" w:sz="6" w:space="0" w:color="auto"/>
              <w:bottom w:val="single" w:sz="4" w:space="0" w:color="auto"/>
              <w:right w:val="single" w:sz="6" w:space="0" w:color="auto"/>
            </w:tcBorders>
            <w:shd w:val="clear" w:color="auto" w:fill="3399FF"/>
            <w:vAlign w:val="center"/>
          </w:tcPr>
          <w:p w14:paraId="3018DB6C" w14:textId="2F497E0A" w:rsidR="00216DF3" w:rsidRPr="00AC0970" w:rsidRDefault="00216DF3" w:rsidP="001A4E60">
            <w:pPr>
              <w:jc w:val="center"/>
              <w:rPr>
                <w:b/>
                <w:sz w:val="20"/>
                <w:lang w:val="en-US" w:eastAsia="en-GB"/>
              </w:rPr>
            </w:pPr>
            <w:r w:rsidRPr="00AC0970">
              <w:rPr>
                <w:b/>
                <w:sz w:val="20"/>
                <w:lang w:val="en-US" w:eastAsia="en-GB"/>
              </w:rPr>
              <w:t>ACTION</w:t>
            </w:r>
            <w:r>
              <w:rPr>
                <w:b/>
                <w:sz w:val="20"/>
                <w:lang w:val="en-US" w:eastAsia="en-GB"/>
              </w:rPr>
              <w:t xml:space="preserve"> TAKEN</w:t>
            </w:r>
          </w:p>
        </w:tc>
      </w:tr>
      <w:tr w:rsidR="00E96DEE" w:rsidRPr="00AC0970" w14:paraId="6AFC4161" w14:textId="77777777" w:rsidTr="005E670B">
        <w:tc>
          <w:tcPr>
            <w:tcW w:w="710" w:type="dxa"/>
            <w:tcBorders>
              <w:top w:val="single" w:sz="4" w:space="0" w:color="auto"/>
              <w:left w:val="single" w:sz="4" w:space="0" w:color="auto"/>
              <w:bottom w:val="single" w:sz="4" w:space="0" w:color="auto"/>
              <w:right w:val="single" w:sz="4" w:space="0" w:color="auto"/>
            </w:tcBorders>
          </w:tcPr>
          <w:p w14:paraId="338D464B" w14:textId="77777777" w:rsidR="00E96DEE" w:rsidRPr="00BD3227" w:rsidRDefault="00E96DEE" w:rsidP="00614E93">
            <w:pPr>
              <w:rPr>
                <w:sz w:val="22"/>
                <w:szCs w:val="22"/>
                <w:lang w:val="en-US" w:eastAsia="en-GB"/>
              </w:rPr>
            </w:pPr>
            <w:r>
              <w:rPr>
                <w:sz w:val="22"/>
                <w:szCs w:val="22"/>
                <w:lang w:val="en-US" w:eastAsia="en-GB"/>
              </w:rPr>
              <w:t>1</w:t>
            </w:r>
          </w:p>
        </w:tc>
        <w:tc>
          <w:tcPr>
            <w:tcW w:w="6830" w:type="dxa"/>
            <w:tcBorders>
              <w:top w:val="single" w:sz="4" w:space="0" w:color="auto"/>
              <w:left w:val="single" w:sz="4" w:space="0" w:color="auto"/>
              <w:bottom w:val="single" w:sz="4" w:space="0" w:color="auto"/>
              <w:right w:val="single" w:sz="4" w:space="0" w:color="auto"/>
            </w:tcBorders>
          </w:tcPr>
          <w:p w14:paraId="457E1F37" w14:textId="2CCC969F" w:rsidR="00E96DEE" w:rsidRPr="006255EE" w:rsidRDefault="00E96DEE" w:rsidP="00614E93">
            <w:pPr>
              <w:rPr>
                <w:bCs/>
                <w:sz w:val="22"/>
                <w:szCs w:val="22"/>
                <w:u w:val="single"/>
                <w:lang w:val="en-US" w:eastAsia="en-GB"/>
              </w:rPr>
            </w:pPr>
            <w:r w:rsidRPr="006255EE">
              <w:rPr>
                <w:bCs/>
                <w:sz w:val="22"/>
                <w:szCs w:val="22"/>
                <w:u w:val="single"/>
                <w:lang w:val="en-US" w:eastAsia="en-GB"/>
              </w:rPr>
              <w:t>Procurement and CPR’s</w:t>
            </w:r>
          </w:p>
          <w:p w14:paraId="24AE854B" w14:textId="77777777" w:rsidR="00E96DEE" w:rsidRDefault="00E96DEE" w:rsidP="00614E93">
            <w:pPr>
              <w:rPr>
                <w:rFonts w:cs="Arial"/>
                <w:sz w:val="22"/>
                <w:szCs w:val="22"/>
              </w:rPr>
            </w:pPr>
          </w:p>
          <w:p w14:paraId="6339E42A" w14:textId="660D3B73" w:rsidR="00E96DEE" w:rsidRDefault="00E96DEE" w:rsidP="00614E93">
            <w:pPr>
              <w:rPr>
                <w:rFonts w:cs="Arial"/>
                <w:sz w:val="22"/>
                <w:szCs w:val="22"/>
              </w:rPr>
            </w:pPr>
            <w:r>
              <w:rPr>
                <w:rFonts w:cs="Arial"/>
                <w:sz w:val="22"/>
                <w:szCs w:val="22"/>
              </w:rPr>
              <w:t xml:space="preserve">There was a failure to record and retain robust documentation for the procurement of professional services for the design and construction element of the project; particularly with regards to a comprehensive, documented evaluation of the suitable framework agreements identified. </w:t>
            </w:r>
          </w:p>
          <w:p w14:paraId="20EFDC23" w14:textId="77777777" w:rsidR="00E96DEE" w:rsidRDefault="00E96DEE" w:rsidP="00614E93">
            <w:pPr>
              <w:rPr>
                <w:bCs/>
                <w:sz w:val="22"/>
                <w:szCs w:val="22"/>
                <w:lang w:val="en-US" w:eastAsia="en-GB"/>
              </w:rPr>
            </w:pPr>
          </w:p>
          <w:p w14:paraId="14A253EE" w14:textId="16EB0211" w:rsidR="00E96DEE" w:rsidRDefault="00E96DEE" w:rsidP="001F711D">
            <w:pPr>
              <w:rPr>
                <w:rFonts w:cs="Arial"/>
                <w:sz w:val="22"/>
                <w:szCs w:val="22"/>
              </w:rPr>
            </w:pPr>
            <w:r w:rsidRPr="00CB2D85">
              <w:rPr>
                <w:rFonts w:cs="Arial"/>
                <w:sz w:val="22"/>
                <w:szCs w:val="22"/>
              </w:rPr>
              <w:t xml:space="preserve">Effective audit trails must be maintained at all stages throughout the procurement </w:t>
            </w:r>
            <w:r>
              <w:rPr>
                <w:rFonts w:cs="Arial"/>
                <w:sz w:val="22"/>
                <w:szCs w:val="22"/>
              </w:rPr>
              <w:t xml:space="preserve">procedure as outlined in the Council’s CPR’s </w:t>
            </w:r>
            <w:r w:rsidRPr="00CB2D85">
              <w:rPr>
                <w:rFonts w:cs="Arial"/>
                <w:sz w:val="22"/>
                <w:szCs w:val="22"/>
              </w:rPr>
              <w:t xml:space="preserve">to support </w:t>
            </w:r>
            <w:r>
              <w:rPr>
                <w:rFonts w:cs="Arial"/>
                <w:sz w:val="22"/>
                <w:szCs w:val="22"/>
              </w:rPr>
              <w:t xml:space="preserve">the requirement </w:t>
            </w:r>
            <w:r w:rsidRPr="00CB2D85">
              <w:rPr>
                <w:rFonts w:cs="Arial"/>
                <w:sz w:val="22"/>
                <w:szCs w:val="22"/>
              </w:rPr>
              <w:t xml:space="preserve">“to obtain Best Value in the way the </w:t>
            </w:r>
            <w:r>
              <w:rPr>
                <w:rFonts w:cs="Arial"/>
                <w:sz w:val="22"/>
                <w:szCs w:val="22"/>
              </w:rPr>
              <w:t>Council</w:t>
            </w:r>
            <w:r w:rsidRPr="00CB2D85">
              <w:rPr>
                <w:rFonts w:cs="Arial"/>
                <w:sz w:val="22"/>
                <w:szCs w:val="22"/>
              </w:rPr>
              <w:t xml:space="preserve"> spends money, so that in turn it offers better and more cost-effective services to the public.”  </w:t>
            </w:r>
          </w:p>
          <w:p w14:paraId="2E702A17" w14:textId="483F6769" w:rsidR="00E96DEE" w:rsidRPr="001A4E60" w:rsidRDefault="00E96DEE" w:rsidP="00614E93">
            <w:pPr>
              <w:rPr>
                <w:bCs/>
                <w:sz w:val="22"/>
                <w:szCs w:val="22"/>
                <w:lang w:val="en-US" w:eastAsia="en-GB"/>
              </w:rPr>
            </w:pPr>
          </w:p>
        </w:tc>
        <w:tc>
          <w:tcPr>
            <w:tcW w:w="7911" w:type="dxa"/>
            <w:vMerge w:val="restart"/>
            <w:tcBorders>
              <w:top w:val="single" w:sz="4" w:space="0" w:color="auto"/>
              <w:left w:val="single" w:sz="4" w:space="0" w:color="auto"/>
              <w:right w:val="single" w:sz="4" w:space="0" w:color="auto"/>
            </w:tcBorders>
          </w:tcPr>
          <w:p w14:paraId="14104CAB" w14:textId="2ED80C4F" w:rsidR="00E96DEE" w:rsidRDefault="00E96DEE" w:rsidP="0017688E">
            <w:pPr>
              <w:rPr>
                <w:sz w:val="22"/>
                <w:szCs w:val="22"/>
              </w:rPr>
            </w:pPr>
            <w:r>
              <w:rPr>
                <w:sz w:val="22"/>
                <w:szCs w:val="22"/>
              </w:rPr>
              <w:t>Procurement and Legal Services have provided Procurement and Contract Procedure Rules training to key procuring officers during 2020/21, incorporating all elements of the procurement cycle including the use of Framework Agreements.</w:t>
            </w:r>
          </w:p>
          <w:p w14:paraId="14BB814F" w14:textId="785C702A" w:rsidR="00E96DEE" w:rsidRDefault="00E96DEE" w:rsidP="0017688E">
            <w:pPr>
              <w:rPr>
                <w:sz w:val="22"/>
                <w:szCs w:val="22"/>
              </w:rPr>
            </w:pPr>
          </w:p>
          <w:p w14:paraId="0D47EB81" w14:textId="53FBAC54" w:rsidR="00E96DEE" w:rsidRDefault="00E96DEE" w:rsidP="0017688E">
            <w:pPr>
              <w:rPr>
                <w:sz w:val="22"/>
                <w:szCs w:val="22"/>
              </w:rPr>
            </w:pPr>
            <w:r>
              <w:rPr>
                <w:sz w:val="22"/>
                <w:szCs w:val="22"/>
              </w:rPr>
              <w:t>The ‘Staff Guide to Procurement’ was reviewed and updated in February 2021 to support the training undertaken.</w:t>
            </w:r>
          </w:p>
          <w:p w14:paraId="3AE226FC" w14:textId="77777777" w:rsidR="00E96DEE" w:rsidRDefault="00E96DEE" w:rsidP="00614E93">
            <w:pPr>
              <w:rPr>
                <w:sz w:val="22"/>
                <w:szCs w:val="22"/>
              </w:rPr>
            </w:pPr>
          </w:p>
          <w:p w14:paraId="18C6734E" w14:textId="77777777" w:rsidR="00E96DEE" w:rsidRDefault="00E96DEE" w:rsidP="00614E93">
            <w:pPr>
              <w:rPr>
                <w:sz w:val="22"/>
                <w:szCs w:val="22"/>
              </w:rPr>
            </w:pPr>
            <w:r>
              <w:rPr>
                <w:sz w:val="22"/>
                <w:szCs w:val="22"/>
              </w:rPr>
              <w:t>The Councils Constitution, including the financial regulations and scheme of delegation was reviewed and updated in February 2021.</w:t>
            </w:r>
          </w:p>
          <w:p w14:paraId="57E3E30A" w14:textId="77777777" w:rsidR="00E96DEE" w:rsidRDefault="00E96DEE" w:rsidP="00614E93">
            <w:pPr>
              <w:rPr>
                <w:sz w:val="22"/>
                <w:szCs w:val="22"/>
              </w:rPr>
            </w:pPr>
          </w:p>
          <w:p w14:paraId="7DBA4043" w14:textId="3DD6E6D8" w:rsidR="00E96DEE" w:rsidRDefault="00E96DEE" w:rsidP="00614E93">
            <w:pPr>
              <w:rPr>
                <w:sz w:val="22"/>
                <w:szCs w:val="22"/>
              </w:rPr>
            </w:pPr>
            <w:r>
              <w:rPr>
                <w:sz w:val="22"/>
                <w:szCs w:val="22"/>
              </w:rPr>
              <w:t>Governance &amp; Ethical Governance Training was provided to Members with a Member Ethical Decision Making and a Member Code of Conduct Learning Session held during August and September 2020; and t</w:t>
            </w:r>
            <w:r w:rsidRPr="000C3455">
              <w:rPr>
                <w:sz w:val="22"/>
                <w:szCs w:val="22"/>
              </w:rPr>
              <w:t xml:space="preserve">raining to key </w:t>
            </w:r>
            <w:r>
              <w:rPr>
                <w:sz w:val="22"/>
                <w:szCs w:val="22"/>
              </w:rPr>
              <w:t>o</w:t>
            </w:r>
            <w:r w:rsidRPr="000C3455">
              <w:rPr>
                <w:sz w:val="22"/>
                <w:szCs w:val="22"/>
              </w:rPr>
              <w:t>fficers provided in October 2020.</w:t>
            </w:r>
          </w:p>
          <w:p w14:paraId="55FA0DEF" w14:textId="3DF7E0F9" w:rsidR="00E96DEE" w:rsidRDefault="00E96DEE" w:rsidP="00614E93">
            <w:pPr>
              <w:rPr>
                <w:sz w:val="22"/>
                <w:szCs w:val="22"/>
              </w:rPr>
            </w:pPr>
          </w:p>
          <w:p w14:paraId="76C992D2" w14:textId="77777777" w:rsidR="00E96DEE" w:rsidRDefault="00E96DEE" w:rsidP="00614E93">
            <w:pPr>
              <w:rPr>
                <w:sz w:val="22"/>
                <w:szCs w:val="22"/>
              </w:rPr>
            </w:pPr>
            <w:r>
              <w:rPr>
                <w:sz w:val="22"/>
                <w:szCs w:val="22"/>
              </w:rPr>
              <w:t>A ‘Compliance with CPR’s Review’ was recently completed by Internal Audit, and an adequate assurance rating awarded. Actions have been agreed with Procurement and Legal Services to further strengthen internal controls and aid compliance with the Council’s CPR’s.</w:t>
            </w:r>
          </w:p>
          <w:p w14:paraId="200B8A9A" w14:textId="1FE38748" w:rsidR="00E96DEE" w:rsidRPr="00F32EF2" w:rsidRDefault="00E96DEE" w:rsidP="00614E93">
            <w:pPr>
              <w:rPr>
                <w:sz w:val="22"/>
                <w:szCs w:val="22"/>
              </w:rPr>
            </w:pPr>
          </w:p>
        </w:tc>
      </w:tr>
      <w:tr w:rsidR="00E96DEE" w:rsidRPr="00AC0970" w14:paraId="7D4E4C1D" w14:textId="77777777" w:rsidTr="005E670B">
        <w:tc>
          <w:tcPr>
            <w:tcW w:w="710" w:type="dxa"/>
            <w:tcBorders>
              <w:top w:val="single" w:sz="4" w:space="0" w:color="auto"/>
              <w:left w:val="single" w:sz="4" w:space="0" w:color="auto"/>
              <w:bottom w:val="single" w:sz="4" w:space="0" w:color="auto"/>
              <w:right w:val="single" w:sz="4" w:space="0" w:color="auto"/>
            </w:tcBorders>
          </w:tcPr>
          <w:p w14:paraId="477F5B39" w14:textId="2C5BF9C1" w:rsidR="00E96DEE" w:rsidRDefault="00E96DEE" w:rsidP="00614E93">
            <w:pPr>
              <w:rPr>
                <w:sz w:val="22"/>
                <w:szCs w:val="22"/>
                <w:lang w:val="en-US" w:eastAsia="en-GB"/>
              </w:rPr>
            </w:pPr>
            <w:r>
              <w:rPr>
                <w:sz w:val="22"/>
                <w:szCs w:val="22"/>
                <w:lang w:val="en-US" w:eastAsia="en-GB"/>
              </w:rPr>
              <w:t>2</w:t>
            </w:r>
          </w:p>
        </w:tc>
        <w:tc>
          <w:tcPr>
            <w:tcW w:w="6830" w:type="dxa"/>
            <w:tcBorders>
              <w:top w:val="single" w:sz="4" w:space="0" w:color="auto"/>
              <w:left w:val="single" w:sz="4" w:space="0" w:color="auto"/>
              <w:bottom w:val="single" w:sz="4" w:space="0" w:color="auto"/>
              <w:right w:val="single" w:sz="4" w:space="0" w:color="auto"/>
            </w:tcBorders>
          </w:tcPr>
          <w:p w14:paraId="23FE328D" w14:textId="5FABABAD" w:rsidR="00E96DEE" w:rsidRDefault="00E96DEE" w:rsidP="00614E93">
            <w:pPr>
              <w:rPr>
                <w:bCs/>
                <w:sz w:val="22"/>
                <w:szCs w:val="22"/>
                <w:u w:val="single"/>
                <w:lang w:val="en-US" w:eastAsia="en-GB"/>
              </w:rPr>
            </w:pPr>
            <w:r w:rsidRPr="0083377D">
              <w:rPr>
                <w:bCs/>
                <w:sz w:val="22"/>
                <w:szCs w:val="22"/>
                <w:u w:val="single"/>
                <w:lang w:val="en-US" w:eastAsia="en-GB"/>
              </w:rPr>
              <w:t>Key Decisions</w:t>
            </w:r>
          </w:p>
          <w:p w14:paraId="57E5EA55" w14:textId="77777777" w:rsidR="00E96DEE" w:rsidRPr="0083377D" w:rsidRDefault="00E96DEE" w:rsidP="00614E93">
            <w:pPr>
              <w:rPr>
                <w:bCs/>
                <w:sz w:val="22"/>
                <w:szCs w:val="22"/>
                <w:u w:val="single"/>
                <w:lang w:val="en-US" w:eastAsia="en-GB"/>
              </w:rPr>
            </w:pPr>
          </w:p>
          <w:p w14:paraId="0BCE8DA1" w14:textId="6A1CBA88" w:rsidR="00E96DEE" w:rsidRDefault="00E96DEE" w:rsidP="00614E93">
            <w:pPr>
              <w:rPr>
                <w:bCs/>
                <w:sz w:val="22"/>
                <w:szCs w:val="22"/>
                <w:lang w:val="en-US" w:eastAsia="en-GB"/>
              </w:rPr>
            </w:pPr>
            <w:r>
              <w:rPr>
                <w:rFonts w:cs="Arial"/>
                <w:sz w:val="22"/>
                <w:szCs w:val="22"/>
                <w:lang w:eastAsia="en-GB"/>
              </w:rPr>
              <w:t>There was a failure to refer all decisions above £100,000 to Cabinet and provide regular update reports to Cabinet</w:t>
            </w:r>
            <w:r>
              <w:rPr>
                <w:bCs/>
                <w:sz w:val="22"/>
                <w:szCs w:val="22"/>
                <w:lang w:val="en-US" w:eastAsia="en-GB"/>
              </w:rPr>
              <w:t xml:space="preserve"> in accordance with requirements set out in the Cabinet reports of 17/10/18 &amp; 21/11/18.</w:t>
            </w:r>
          </w:p>
          <w:p w14:paraId="6B2CEAB1" w14:textId="353468BC" w:rsidR="00E96DEE" w:rsidRDefault="00E96DEE" w:rsidP="00614E93">
            <w:pPr>
              <w:rPr>
                <w:bCs/>
                <w:sz w:val="22"/>
                <w:szCs w:val="22"/>
                <w:lang w:val="en-US" w:eastAsia="en-GB"/>
              </w:rPr>
            </w:pPr>
          </w:p>
          <w:p w14:paraId="36A2C572" w14:textId="5E353C94" w:rsidR="00E96DEE" w:rsidRDefault="00E96DEE" w:rsidP="00614E93">
            <w:pPr>
              <w:rPr>
                <w:bCs/>
                <w:sz w:val="22"/>
                <w:szCs w:val="22"/>
                <w:lang w:val="en-US" w:eastAsia="en-GB"/>
              </w:rPr>
            </w:pPr>
            <w:r>
              <w:rPr>
                <w:sz w:val="22"/>
                <w:szCs w:val="22"/>
              </w:rPr>
              <w:t>Opportunities were lost to advise Cabinet of the increased cost projections for the project, and to allow consideration of the options that may have been available to the Council.</w:t>
            </w:r>
          </w:p>
          <w:p w14:paraId="7BDB84ED" w14:textId="528B973C" w:rsidR="00E96DEE" w:rsidRPr="001A4E60" w:rsidRDefault="00E96DEE" w:rsidP="00614E93">
            <w:pPr>
              <w:rPr>
                <w:bCs/>
                <w:sz w:val="22"/>
                <w:szCs w:val="22"/>
                <w:lang w:val="en-US" w:eastAsia="en-GB"/>
              </w:rPr>
            </w:pPr>
          </w:p>
        </w:tc>
        <w:tc>
          <w:tcPr>
            <w:tcW w:w="7911" w:type="dxa"/>
            <w:vMerge/>
            <w:tcBorders>
              <w:left w:val="single" w:sz="4" w:space="0" w:color="auto"/>
              <w:bottom w:val="single" w:sz="4" w:space="0" w:color="auto"/>
              <w:right w:val="single" w:sz="4" w:space="0" w:color="auto"/>
            </w:tcBorders>
          </w:tcPr>
          <w:p w14:paraId="2F877587" w14:textId="53C51BBF" w:rsidR="00E96DEE" w:rsidRPr="00F32EF2" w:rsidRDefault="00E96DEE" w:rsidP="00E96DEE">
            <w:pPr>
              <w:rPr>
                <w:sz w:val="22"/>
                <w:szCs w:val="22"/>
              </w:rPr>
            </w:pPr>
          </w:p>
        </w:tc>
      </w:tr>
    </w:tbl>
    <w:p w14:paraId="79178016" w14:textId="4ED36582" w:rsidR="0041642A" w:rsidRDefault="0041642A" w:rsidP="00862653">
      <w:pPr>
        <w:ind w:left="1440"/>
        <w:jc w:val="right"/>
        <w:rPr>
          <w:sz w:val="16"/>
          <w:szCs w:val="16"/>
        </w:rPr>
      </w:pPr>
    </w:p>
    <w:p w14:paraId="71799648" w14:textId="77777777" w:rsidR="002F2DD1" w:rsidRDefault="002F2DD1" w:rsidP="00862653">
      <w:pPr>
        <w:jc w:val="center"/>
        <w:rPr>
          <w:b/>
          <w:sz w:val="22"/>
          <w:szCs w:val="22"/>
          <w:lang w:eastAsia="en-GB"/>
        </w:rPr>
        <w:sectPr w:rsidR="002F2DD1" w:rsidSect="0041642A">
          <w:pgSz w:w="16839" w:h="11907" w:orient="landscape" w:code="9"/>
          <w:pgMar w:top="1701" w:right="822" w:bottom="1797" w:left="1276" w:header="720" w:footer="720" w:gutter="0"/>
          <w:cols w:space="720"/>
          <w:docGrid w:linePitch="326"/>
        </w:sectPr>
      </w:pPr>
    </w:p>
    <w:tbl>
      <w:tblPr>
        <w:tblW w:w="15452"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452"/>
      </w:tblGrid>
      <w:tr w:rsidR="00862653" w:rsidRPr="00AC0970" w14:paraId="43CCB956" w14:textId="77777777" w:rsidTr="004778AF">
        <w:tc>
          <w:tcPr>
            <w:tcW w:w="15452" w:type="dxa"/>
            <w:shd w:val="clear" w:color="auto" w:fill="3399FF"/>
          </w:tcPr>
          <w:p w14:paraId="7BA9FFF1" w14:textId="29AD1E8B" w:rsidR="00862653" w:rsidRPr="00514D84" w:rsidRDefault="00862653" w:rsidP="00862653">
            <w:pPr>
              <w:jc w:val="center"/>
              <w:rPr>
                <w:b/>
                <w:sz w:val="16"/>
                <w:szCs w:val="16"/>
                <w:lang w:eastAsia="en-GB"/>
              </w:rPr>
            </w:pPr>
            <w:r w:rsidRPr="00AC0970">
              <w:rPr>
                <w:b/>
                <w:sz w:val="22"/>
                <w:szCs w:val="22"/>
                <w:lang w:eastAsia="en-GB"/>
              </w:rPr>
              <w:lastRenderedPageBreak/>
              <w:t>MANAGEMENT ACTION PLAN</w:t>
            </w:r>
          </w:p>
        </w:tc>
      </w:tr>
    </w:tbl>
    <w:p w14:paraId="7F22F3F2" w14:textId="77777777" w:rsidR="00AC0970" w:rsidRPr="00AC0970" w:rsidRDefault="00AC0970" w:rsidP="00AC0970">
      <w:pPr>
        <w:rPr>
          <w:sz w:val="20"/>
          <w:lang w:val="en-US" w:eastAsia="en-GB"/>
        </w:rPr>
      </w:pPr>
    </w:p>
    <w:tbl>
      <w:tblPr>
        <w:tblW w:w="15451"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0"/>
        <w:gridCol w:w="6830"/>
        <w:gridCol w:w="5811"/>
        <w:gridCol w:w="2100"/>
      </w:tblGrid>
      <w:tr w:rsidR="002B20D0" w:rsidRPr="00AC0970" w14:paraId="2EB97E6E" w14:textId="77777777" w:rsidTr="004778AF">
        <w:tc>
          <w:tcPr>
            <w:tcW w:w="710" w:type="dxa"/>
            <w:tcBorders>
              <w:top w:val="single" w:sz="6" w:space="0" w:color="auto"/>
              <w:bottom w:val="single" w:sz="4" w:space="0" w:color="auto"/>
              <w:right w:val="nil"/>
            </w:tcBorders>
            <w:shd w:val="clear" w:color="auto" w:fill="3399FF"/>
          </w:tcPr>
          <w:p w14:paraId="7AF57ED3" w14:textId="77777777" w:rsidR="002B20D0" w:rsidRPr="00AC0970" w:rsidRDefault="002B20D0" w:rsidP="00AC0970">
            <w:pPr>
              <w:jc w:val="center"/>
              <w:rPr>
                <w:b/>
                <w:sz w:val="20"/>
                <w:lang w:val="en-US" w:eastAsia="en-GB"/>
              </w:rPr>
            </w:pPr>
            <w:bookmarkStart w:id="2" w:name="_Hlk78280086"/>
            <w:r w:rsidRPr="00AC0970">
              <w:rPr>
                <w:b/>
                <w:sz w:val="20"/>
                <w:lang w:val="en-US" w:eastAsia="en-GB"/>
              </w:rPr>
              <w:t>NO.</w:t>
            </w:r>
          </w:p>
        </w:tc>
        <w:tc>
          <w:tcPr>
            <w:tcW w:w="6830" w:type="dxa"/>
            <w:tcBorders>
              <w:top w:val="single" w:sz="6" w:space="0" w:color="auto"/>
              <w:left w:val="single" w:sz="6" w:space="0" w:color="auto"/>
              <w:bottom w:val="single" w:sz="4" w:space="0" w:color="auto"/>
              <w:right w:val="single" w:sz="6" w:space="0" w:color="auto"/>
            </w:tcBorders>
            <w:shd w:val="clear" w:color="auto" w:fill="3399FF"/>
          </w:tcPr>
          <w:p w14:paraId="370F64DB" w14:textId="3549EAA1" w:rsidR="002B20D0" w:rsidRPr="00AC0970" w:rsidRDefault="002B20D0" w:rsidP="00AC0970">
            <w:pPr>
              <w:jc w:val="center"/>
              <w:rPr>
                <w:b/>
                <w:sz w:val="20"/>
                <w:lang w:val="en-US" w:eastAsia="en-GB"/>
              </w:rPr>
            </w:pPr>
            <w:r>
              <w:rPr>
                <w:b/>
                <w:sz w:val="20"/>
                <w:lang w:val="en-US" w:eastAsia="en-GB"/>
              </w:rPr>
              <w:t xml:space="preserve">FINDING </w:t>
            </w:r>
          </w:p>
        </w:tc>
        <w:tc>
          <w:tcPr>
            <w:tcW w:w="5811" w:type="dxa"/>
            <w:tcBorders>
              <w:top w:val="single" w:sz="6" w:space="0" w:color="auto"/>
              <w:left w:val="single" w:sz="6" w:space="0" w:color="auto"/>
              <w:bottom w:val="single" w:sz="4" w:space="0" w:color="auto"/>
              <w:right w:val="single" w:sz="6" w:space="0" w:color="auto"/>
            </w:tcBorders>
            <w:shd w:val="clear" w:color="auto" w:fill="3399FF"/>
          </w:tcPr>
          <w:p w14:paraId="74C84BB1" w14:textId="77777777" w:rsidR="002B20D0" w:rsidRPr="00AC0970" w:rsidRDefault="002B20D0" w:rsidP="00AC0970">
            <w:pPr>
              <w:jc w:val="center"/>
              <w:rPr>
                <w:b/>
                <w:sz w:val="20"/>
                <w:lang w:val="en-US" w:eastAsia="en-GB"/>
              </w:rPr>
            </w:pPr>
            <w:r w:rsidRPr="00AC0970">
              <w:rPr>
                <w:b/>
                <w:sz w:val="20"/>
                <w:lang w:val="en-US" w:eastAsia="en-GB"/>
              </w:rPr>
              <w:t xml:space="preserve">AGREED </w:t>
            </w:r>
          </w:p>
          <w:p w14:paraId="430CB5C5" w14:textId="77777777" w:rsidR="002B20D0" w:rsidRPr="00AC0970" w:rsidRDefault="002B20D0" w:rsidP="00AC0970">
            <w:pPr>
              <w:jc w:val="center"/>
              <w:rPr>
                <w:b/>
                <w:sz w:val="20"/>
                <w:lang w:val="en-US" w:eastAsia="en-GB"/>
              </w:rPr>
            </w:pPr>
            <w:r w:rsidRPr="00AC0970">
              <w:rPr>
                <w:b/>
                <w:sz w:val="20"/>
                <w:lang w:val="en-US" w:eastAsia="en-GB"/>
              </w:rPr>
              <w:t>ACTION</w:t>
            </w:r>
          </w:p>
        </w:tc>
        <w:tc>
          <w:tcPr>
            <w:tcW w:w="2100" w:type="dxa"/>
            <w:tcBorders>
              <w:top w:val="single" w:sz="6" w:space="0" w:color="auto"/>
              <w:left w:val="single" w:sz="4" w:space="0" w:color="auto"/>
              <w:bottom w:val="single" w:sz="4" w:space="0" w:color="auto"/>
              <w:right w:val="single" w:sz="4" w:space="0" w:color="auto"/>
            </w:tcBorders>
            <w:shd w:val="clear" w:color="auto" w:fill="3399FF"/>
          </w:tcPr>
          <w:p w14:paraId="59A612C4" w14:textId="0E31CC90" w:rsidR="002B20D0" w:rsidRPr="00AC0970" w:rsidRDefault="002B20D0" w:rsidP="00AC0970">
            <w:pPr>
              <w:jc w:val="center"/>
              <w:rPr>
                <w:b/>
                <w:sz w:val="20"/>
                <w:lang w:val="en-US" w:eastAsia="en-GB"/>
              </w:rPr>
            </w:pPr>
            <w:r w:rsidRPr="00AC0970">
              <w:rPr>
                <w:b/>
                <w:sz w:val="20"/>
                <w:lang w:val="en-US" w:eastAsia="en-GB"/>
              </w:rPr>
              <w:t>OFFICER</w:t>
            </w:r>
          </w:p>
          <w:p w14:paraId="532ADEFD" w14:textId="77777777" w:rsidR="002B20D0" w:rsidRPr="00AC0970" w:rsidRDefault="002B20D0" w:rsidP="00AC0970">
            <w:pPr>
              <w:jc w:val="center"/>
              <w:rPr>
                <w:b/>
                <w:sz w:val="20"/>
                <w:lang w:val="en-US" w:eastAsia="en-GB"/>
              </w:rPr>
            </w:pPr>
            <w:r w:rsidRPr="00AC0970">
              <w:rPr>
                <w:b/>
                <w:sz w:val="20"/>
                <w:lang w:val="en-US" w:eastAsia="en-GB"/>
              </w:rPr>
              <w:t xml:space="preserve"> &amp; DATE</w:t>
            </w:r>
          </w:p>
        </w:tc>
      </w:tr>
      <w:tr w:rsidR="002B20D0" w:rsidRPr="00AC0970" w14:paraId="7104D17D" w14:textId="77777777" w:rsidTr="002B20D0">
        <w:tc>
          <w:tcPr>
            <w:tcW w:w="710" w:type="dxa"/>
            <w:tcBorders>
              <w:top w:val="single" w:sz="4" w:space="0" w:color="auto"/>
              <w:left w:val="single" w:sz="4" w:space="0" w:color="auto"/>
              <w:bottom w:val="single" w:sz="4" w:space="0" w:color="auto"/>
              <w:right w:val="single" w:sz="4" w:space="0" w:color="auto"/>
            </w:tcBorders>
          </w:tcPr>
          <w:p w14:paraId="7F1A6D90" w14:textId="235B1EBC" w:rsidR="002B20D0" w:rsidRPr="00BD3227" w:rsidRDefault="00D25B0A" w:rsidP="00AC0970">
            <w:pPr>
              <w:rPr>
                <w:sz w:val="22"/>
                <w:szCs w:val="22"/>
                <w:lang w:val="en-US" w:eastAsia="en-GB"/>
              </w:rPr>
            </w:pPr>
            <w:r>
              <w:rPr>
                <w:sz w:val="22"/>
                <w:szCs w:val="22"/>
                <w:lang w:val="en-US" w:eastAsia="en-GB"/>
              </w:rPr>
              <w:t>1</w:t>
            </w:r>
          </w:p>
        </w:tc>
        <w:tc>
          <w:tcPr>
            <w:tcW w:w="6830" w:type="dxa"/>
            <w:tcBorders>
              <w:top w:val="single" w:sz="4" w:space="0" w:color="auto"/>
              <w:left w:val="single" w:sz="4" w:space="0" w:color="auto"/>
              <w:bottom w:val="single" w:sz="4" w:space="0" w:color="auto"/>
              <w:right w:val="single" w:sz="4" w:space="0" w:color="auto"/>
            </w:tcBorders>
          </w:tcPr>
          <w:p w14:paraId="72C07C7B" w14:textId="6601F176" w:rsidR="003C0CB9" w:rsidRPr="00D25B0A" w:rsidRDefault="003C0CB9" w:rsidP="00514D84">
            <w:pPr>
              <w:rPr>
                <w:bCs/>
                <w:sz w:val="22"/>
                <w:szCs w:val="22"/>
                <w:lang w:val="en-US" w:eastAsia="en-GB"/>
              </w:rPr>
            </w:pPr>
            <w:r w:rsidRPr="00D25B0A">
              <w:rPr>
                <w:bCs/>
                <w:sz w:val="22"/>
                <w:szCs w:val="22"/>
                <w:lang w:val="en-US" w:eastAsia="en-GB"/>
              </w:rPr>
              <w:t>It is understood that the Project Management System (</w:t>
            </w:r>
            <w:proofErr w:type="spellStart"/>
            <w:r w:rsidRPr="00D25B0A">
              <w:rPr>
                <w:bCs/>
                <w:sz w:val="22"/>
                <w:szCs w:val="22"/>
                <w:lang w:val="en-US" w:eastAsia="en-GB"/>
              </w:rPr>
              <w:t>InPhase</w:t>
            </w:r>
            <w:proofErr w:type="spellEnd"/>
            <w:r w:rsidRPr="00D25B0A">
              <w:rPr>
                <w:bCs/>
                <w:sz w:val="22"/>
                <w:szCs w:val="22"/>
                <w:lang w:val="en-US" w:eastAsia="en-GB"/>
              </w:rPr>
              <w:t xml:space="preserve">) </w:t>
            </w:r>
            <w:proofErr w:type="spellStart"/>
            <w:r w:rsidRPr="00D25B0A">
              <w:rPr>
                <w:bCs/>
                <w:sz w:val="22"/>
                <w:szCs w:val="22"/>
                <w:lang w:val="en-US" w:eastAsia="en-GB"/>
              </w:rPr>
              <w:t>utilised</w:t>
            </w:r>
            <w:proofErr w:type="spellEnd"/>
            <w:r w:rsidRPr="00D25B0A">
              <w:rPr>
                <w:bCs/>
                <w:sz w:val="22"/>
                <w:szCs w:val="22"/>
                <w:lang w:val="en-US" w:eastAsia="en-GB"/>
              </w:rPr>
              <w:t xml:space="preserve"> during the Health &amp; Wellbeing Campus project is no longer in use and a refresh of the Performance Management Framework (PMF) to incorporate the use of a project management toolkit, is currently being undertaken.</w:t>
            </w:r>
          </w:p>
          <w:p w14:paraId="55736CA0" w14:textId="121A46C6" w:rsidR="003C0CB9" w:rsidRPr="00D25B0A" w:rsidRDefault="003C0CB9" w:rsidP="00514D84">
            <w:pPr>
              <w:rPr>
                <w:bCs/>
                <w:sz w:val="22"/>
                <w:szCs w:val="22"/>
                <w:lang w:val="en-US" w:eastAsia="en-GB"/>
              </w:rPr>
            </w:pPr>
          </w:p>
          <w:p w14:paraId="489DA8C6" w14:textId="77777777" w:rsidR="00AD1AC1" w:rsidRPr="00D25B0A" w:rsidRDefault="003C0CB9" w:rsidP="00514D84">
            <w:pPr>
              <w:rPr>
                <w:bCs/>
                <w:sz w:val="22"/>
                <w:szCs w:val="22"/>
                <w:lang w:val="en-US" w:eastAsia="en-GB"/>
              </w:rPr>
            </w:pPr>
            <w:r w:rsidRPr="00D25B0A">
              <w:rPr>
                <w:bCs/>
                <w:sz w:val="22"/>
                <w:szCs w:val="22"/>
                <w:lang w:val="en-US" w:eastAsia="en-GB"/>
              </w:rPr>
              <w:t xml:space="preserve">The updated PMF should set out the standards </w:t>
            </w:r>
            <w:r w:rsidR="004E0B53" w:rsidRPr="00D25B0A">
              <w:rPr>
                <w:bCs/>
                <w:sz w:val="22"/>
                <w:szCs w:val="22"/>
                <w:lang w:val="en-US" w:eastAsia="en-GB"/>
              </w:rPr>
              <w:t xml:space="preserve">and level of documentation that should be retained for </w:t>
            </w:r>
            <w:proofErr w:type="spellStart"/>
            <w:r w:rsidR="004E0B53" w:rsidRPr="00D25B0A">
              <w:rPr>
                <w:bCs/>
                <w:sz w:val="22"/>
                <w:szCs w:val="22"/>
                <w:lang w:val="en-US" w:eastAsia="en-GB"/>
              </w:rPr>
              <w:t>Programme</w:t>
            </w:r>
            <w:proofErr w:type="spellEnd"/>
            <w:r w:rsidR="004E0B53" w:rsidRPr="00D25B0A">
              <w:rPr>
                <w:bCs/>
                <w:sz w:val="22"/>
                <w:szCs w:val="22"/>
                <w:lang w:val="en-US" w:eastAsia="en-GB"/>
              </w:rPr>
              <w:t xml:space="preserve"> Board meetings to ensure there is consistency and transparency</w:t>
            </w:r>
            <w:r w:rsidR="00AD1AC1" w:rsidRPr="00D25B0A">
              <w:rPr>
                <w:bCs/>
                <w:sz w:val="22"/>
                <w:szCs w:val="22"/>
                <w:lang w:val="en-US" w:eastAsia="en-GB"/>
              </w:rPr>
              <w:t xml:space="preserve"> in relation to:</w:t>
            </w:r>
          </w:p>
          <w:p w14:paraId="0896427A" w14:textId="77777777" w:rsidR="00AD1AC1" w:rsidRPr="00D25B0A" w:rsidRDefault="00AD1AC1" w:rsidP="00514D84">
            <w:pPr>
              <w:rPr>
                <w:bCs/>
                <w:sz w:val="22"/>
                <w:szCs w:val="22"/>
                <w:lang w:val="en-US" w:eastAsia="en-GB"/>
              </w:rPr>
            </w:pPr>
          </w:p>
          <w:p w14:paraId="3C2A599A" w14:textId="2F1A1863" w:rsidR="004C1DD9" w:rsidRPr="00D25B0A" w:rsidRDefault="004C1DD9" w:rsidP="004C1DD9">
            <w:pPr>
              <w:pStyle w:val="ListParagraph"/>
              <w:numPr>
                <w:ilvl w:val="0"/>
                <w:numId w:val="22"/>
              </w:numPr>
              <w:rPr>
                <w:bCs/>
                <w:sz w:val="22"/>
                <w:szCs w:val="22"/>
                <w:lang w:val="en-US" w:eastAsia="en-GB"/>
              </w:rPr>
            </w:pPr>
            <w:r w:rsidRPr="00D25B0A">
              <w:rPr>
                <w:bCs/>
                <w:sz w:val="22"/>
                <w:szCs w:val="22"/>
                <w:lang w:val="en-US" w:eastAsia="en-GB"/>
              </w:rPr>
              <w:t>Meeting attendance</w:t>
            </w:r>
            <w:r w:rsidR="002F2DD1">
              <w:rPr>
                <w:bCs/>
                <w:sz w:val="22"/>
                <w:szCs w:val="22"/>
                <w:lang w:val="en-US" w:eastAsia="en-GB"/>
              </w:rPr>
              <w:t xml:space="preserve"> including the attendance of statutory officers where applicable</w:t>
            </w:r>
            <w:r w:rsidRPr="00D25B0A">
              <w:rPr>
                <w:bCs/>
                <w:sz w:val="22"/>
                <w:szCs w:val="22"/>
                <w:lang w:val="en-US" w:eastAsia="en-GB"/>
              </w:rPr>
              <w:t>;</w:t>
            </w:r>
          </w:p>
          <w:p w14:paraId="09D84B4A" w14:textId="248BA56D" w:rsidR="004C1DD9" w:rsidRPr="00D25B0A" w:rsidRDefault="004C1DD9" w:rsidP="004C1DD9">
            <w:pPr>
              <w:pStyle w:val="ListParagraph"/>
              <w:numPr>
                <w:ilvl w:val="0"/>
                <w:numId w:val="22"/>
              </w:numPr>
              <w:rPr>
                <w:bCs/>
                <w:sz w:val="22"/>
                <w:szCs w:val="22"/>
                <w:lang w:val="en-US" w:eastAsia="en-GB"/>
              </w:rPr>
            </w:pPr>
            <w:r w:rsidRPr="00D25B0A">
              <w:rPr>
                <w:bCs/>
                <w:sz w:val="22"/>
                <w:szCs w:val="22"/>
                <w:lang w:val="en-US" w:eastAsia="en-GB"/>
              </w:rPr>
              <w:t>Topics for discu</w:t>
            </w:r>
            <w:r w:rsidR="004E0B53" w:rsidRPr="00D25B0A">
              <w:rPr>
                <w:bCs/>
                <w:sz w:val="22"/>
                <w:szCs w:val="22"/>
                <w:lang w:val="en-US" w:eastAsia="en-GB"/>
              </w:rPr>
              <w:t>ssion</w:t>
            </w:r>
            <w:r w:rsidRPr="00D25B0A">
              <w:rPr>
                <w:bCs/>
                <w:sz w:val="22"/>
                <w:szCs w:val="22"/>
                <w:lang w:val="en-US" w:eastAsia="en-GB"/>
              </w:rPr>
              <w:t>;</w:t>
            </w:r>
          </w:p>
          <w:p w14:paraId="1519CD7C" w14:textId="226592D6" w:rsidR="003C0CB9" w:rsidRPr="00D25B0A" w:rsidRDefault="004C1DD9" w:rsidP="004C1DD9">
            <w:pPr>
              <w:pStyle w:val="ListParagraph"/>
              <w:numPr>
                <w:ilvl w:val="0"/>
                <w:numId w:val="22"/>
              </w:numPr>
              <w:rPr>
                <w:bCs/>
                <w:sz w:val="22"/>
                <w:szCs w:val="22"/>
                <w:lang w:val="en-US" w:eastAsia="en-GB"/>
              </w:rPr>
            </w:pPr>
            <w:r w:rsidRPr="00D25B0A">
              <w:rPr>
                <w:bCs/>
                <w:sz w:val="22"/>
                <w:szCs w:val="22"/>
                <w:lang w:val="en-US" w:eastAsia="en-GB"/>
              </w:rPr>
              <w:t>D</w:t>
            </w:r>
            <w:r w:rsidR="004E0B53" w:rsidRPr="00D25B0A">
              <w:rPr>
                <w:bCs/>
                <w:sz w:val="22"/>
                <w:szCs w:val="22"/>
                <w:lang w:val="en-US" w:eastAsia="en-GB"/>
              </w:rPr>
              <w:t>ecision-making and recommendation</w:t>
            </w:r>
            <w:r w:rsidRPr="00D25B0A">
              <w:rPr>
                <w:bCs/>
                <w:sz w:val="22"/>
                <w:szCs w:val="22"/>
                <w:lang w:val="en-US" w:eastAsia="en-GB"/>
              </w:rPr>
              <w:t>s for further approval by Committee/Cabinet;</w:t>
            </w:r>
          </w:p>
          <w:p w14:paraId="2DBEE10D" w14:textId="61356979" w:rsidR="004C1DD9" w:rsidRPr="00D25B0A" w:rsidRDefault="004C1DD9" w:rsidP="004C1DD9">
            <w:pPr>
              <w:rPr>
                <w:bCs/>
                <w:sz w:val="22"/>
                <w:szCs w:val="22"/>
                <w:lang w:val="en-US" w:eastAsia="en-GB"/>
              </w:rPr>
            </w:pPr>
          </w:p>
          <w:p w14:paraId="591C38B2" w14:textId="7BE7FF18" w:rsidR="004C1DD9" w:rsidRPr="00D25B0A" w:rsidRDefault="004C1DD9" w:rsidP="004C1DD9">
            <w:pPr>
              <w:rPr>
                <w:bCs/>
                <w:sz w:val="22"/>
                <w:szCs w:val="22"/>
                <w:lang w:val="en-US" w:eastAsia="en-GB"/>
              </w:rPr>
            </w:pPr>
            <w:r w:rsidRPr="00D25B0A">
              <w:rPr>
                <w:bCs/>
                <w:sz w:val="22"/>
                <w:szCs w:val="22"/>
                <w:lang w:val="en-US" w:eastAsia="en-GB"/>
              </w:rPr>
              <w:t>across all projects.</w:t>
            </w:r>
          </w:p>
          <w:p w14:paraId="30ED69EE" w14:textId="77777777" w:rsidR="00064870" w:rsidRDefault="00064870" w:rsidP="00514D84">
            <w:pPr>
              <w:rPr>
                <w:bCs/>
                <w:sz w:val="22"/>
                <w:szCs w:val="22"/>
                <w:u w:val="single"/>
                <w:lang w:val="en-US" w:eastAsia="en-GB"/>
              </w:rPr>
            </w:pPr>
          </w:p>
          <w:p w14:paraId="33EA1BC2" w14:textId="0BC21D5F" w:rsidR="00064870" w:rsidRPr="00D25B0A" w:rsidRDefault="00064870" w:rsidP="00514D84">
            <w:pPr>
              <w:rPr>
                <w:bCs/>
                <w:sz w:val="22"/>
                <w:szCs w:val="22"/>
                <w:u w:val="single"/>
                <w:lang w:val="en-US" w:eastAsia="en-GB"/>
              </w:rPr>
            </w:pPr>
          </w:p>
        </w:tc>
        <w:tc>
          <w:tcPr>
            <w:tcW w:w="5811" w:type="dxa"/>
            <w:tcBorders>
              <w:top w:val="single" w:sz="4" w:space="0" w:color="auto"/>
              <w:left w:val="single" w:sz="4" w:space="0" w:color="auto"/>
              <w:bottom w:val="single" w:sz="4" w:space="0" w:color="auto"/>
              <w:right w:val="single" w:sz="4" w:space="0" w:color="auto"/>
            </w:tcBorders>
          </w:tcPr>
          <w:p w14:paraId="6B8D1EED" w14:textId="77777777" w:rsidR="00CF1683" w:rsidRPr="00CF1683" w:rsidRDefault="00CF1683" w:rsidP="00CF1683">
            <w:pPr>
              <w:rPr>
                <w:rFonts w:ascii="Calibri" w:hAnsi="Calibri"/>
                <w:sz w:val="22"/>
                <w:szCs w:val="22"/>
              </w:rPr>
            </w:pPr>
            <w:r w:rsidRPr="00CF1683">
              <w:rPr>
                <w:sz w:val="22"/>
                <w:szCs w:val="22"/>
              </w:rPr>
              <w:t>Future projects of this nature and scale identified in the Corporate Plan/Strategy will be managed through the Corporate Strategy Programme Board with all associated agendas, reports and minutes retained within the Mod.gov system.</w:t>
            </w:r>
          </w:p>
          <w:p w14:paraId="1FE8509A" w14:textId="77777777" w:rsidR="00CF1683" w:rsidRPr="00CF1683" w:rsidRDefault="00CF1683" w:rsidP="00CF1683">
            <w:pPr>
              <w:rPr>
                <w:sz w:val="22"/>
                <w:szCs w:val="22"/>
                <w:lang w:eastAsia="en-GB"/>
              </w:rPr>
            </w:pPr>
          </w:p>
          <w:p w14:paraId="2E68EA01" w14:textId="7670D295" w:rsidR="00CF1683" w:rsidRPr="00CF1683" w:rsidRDefault="00CF1683" w:rsidP="00CF1683">
            <w:pPr>
              <w:rPr>
                <w:rFonts w:ascii="Calibri" w:hAnsi="Calibri"/>
                <w:sz w:val="22"/>
                <w:szCs w:val="22"/>
              </w:rPr>
            </w:pPr>
            <w:r w:rsidRPr="00CF1683">
              <w:rPr>
                <w:sz w:val="22"/>
                <w:szCs w:val="22"/>
              </w:rPr>
              <w:t>To further improve standards and ensure consistency of approach across all Council projects, the project management toolkit is currently being refreshed and strengthened to provide clarity and direction for project team members</w:t>
            </w:r>
            <w:r w:rsidR="009D5E1C">
              <w:rPr>
                <w:sz w:val="22"/>
                <w:szCs w:val="22"/>
              </w:rPr>
              <w:t xml:space="preserve"> in the following areas:</w:t>
            </w:r>
          </w:p>
          <w:p w14:paraId="09E5FBD6" w14:textId="77777777" w:rsidR="00CF1683" w:rsidRPr="00CF1683" w:rsidRDefault="00CF1683" w:rsidP="00CF1683">
            <w:pPr>
              <w:rPr>
                <w:sz w:val="22"/>
                <w:szCs w:val="22"/>
              </w:rPr>
            </w:pPr>
          </w:p>
          <w:p w14:paraId="08784A26" w14:textId="4708EB00" w:rsidR="004061E1" w:rsidRDefault="004061E1" w:rsidP="009D5E1C">
            <w:pPr>
              <w:pStyle w:val="ListParagraph"/>
              <w:numPr>
                <w:ilvl w:val="0"/>
                <w:numId w:val="23"/>
              </w:numPr>
              <w:rPr>
                <w:sz w:val="22"/>
                <w:szCs w:val="22"/>
              </w:rPr>
            </w:pPr>
            <w:r>
              <w:rPr>
                <w:sz w:val="22"/>
                <w:szCs w:val="22"/>
              </w:rPr>
              <w:t xml:space="preserve">Approval process for the governance arrangements </w:t>
            </w:r>
            <w:r w:rsidR="0090104B">
              <w:rPr>
                <w:sz w:val="22"/>
                <w:szCs w:val="22"/>
              </w:rPr>
              <w:t>of large capital programmes;</w:t>
            </w:r>
          </w:p>
          <w:p w14:paraId="56FB018E" w14:textId="629865FF" w:rsidR="00CF1683" w:rsidRPr="009D5E1C" w:rsidRDefault="009D5E1C" w:rsidP="009D5E1C">
            <w:pPr>
              <w:pStyle w:val="ListParagraph"/>
              <w:numPr>
                <w:ilvl w:val="0"/>
                <w:numId w:val="23"/>
              </w:numPr>
              <w:rPr>
                <w:sz w:val="22"/>
                <w:szCs w:val="22"/>
              </w:rPr>
            </w:pPr>
            <w:r>
              <w:rPr>
                <w:sz w:val="22"/>
                <w:szCs w:val="22"/>
              </w:rPr>
              <w:t xml:space="preserve">Document </w:t>
            </w:r>
            <w:r w:rsidR="0090104B">
              <w:rPr>
                <w:sz w:val="22"/>
                <w:szCs w:val="22"/>
              </w:rPr>
              <w:t>managemen</w:t>
            </w:r>
            <w:r w:rsidR="006334F6">
              <w:rPr>
                <w:sz w:val="22"/>
                <w:szCs w:val="22"/>
              </w:rPr>
              <w:t>t</w:t>
            </w:r>
            <w:r w:rsidR="0090104B">
              <w:rPr>
                <w:sz w:val="22"/>
                <w:szCs w:val="22"/>
              </w:rPr>
              <w:t xml:space="preserve"> including </w:t>
            </w:r>
            <w:r>
              <w:rPr>
                <w:sz w:val="22"/>
                <w:szCs w:val="22"/>
              </w:rPr>
              <w:t>retention requirements for</w:t>
            </w:r>
            <w:r w:rsidR="00CF1683" w:rsidRPr="009D5E1C">
              <w:rPr>
                <w:sz w:val="22"/>
                <w:szCs w:val="22"/>
              </w:rPr>
              <w:t xml:space="preserve"> major capital or corporate projects</w:t>
            </w:r>
            <w:r>
              <w:rPr>
                <w:sz w:val="22"/>
                <w:szCs w:val="22"/>
              </w:rPr>
              <w:t>.</w:t>
            </w:r>
          </w:p>
          <w:p w14:paraId="3737B16D" w14:textId="492AA30A" w:rsidR="002B20D0" w:rsidRPr="00CF1683" w:rsidRDefault="002B20D0" w:rsidP="00514D84">
            <w:pPr>
              <w:rPr>
                <w:sz w:val="22"/>
                <w:szCs w:val="22"/>
              </w:rPr>
            </w:pPr>
          </w:p>
        </w:tc>
        <w:tc>
          <w:tcPr>
            <w:tcW w:w="2100" w:type="dxa"/>
            <w:tcBorders>
              <w:top w:val="single" w:sz="4" w:space="0" w:color="auto"/>
              <w:left w:val="single" w:sz="4" w:space="0" w:color="auto"/>
              <w:bottom w:val="single" w:sz="4" w:space="0" w:color="auto"/>
              <w:right w:val="single" w:sz="4" w:space="0" w:color="auto"/>
            </w:tcBorders>
          </w:tcPr>
          <w:p w14:paraId="0F2506A3" w14:textId="77777777" w:rsidR="00BC03AE" w:rsidRPr="00BC03AE" w:rsidRDefault="00BC03AE" w:rsidP="00BC03AE">
            <w:pPr>
              <w:jc w:val="center"/>
              <w:rPr>
                <w:rFonts w:ascii="Calibri" w:hAnsi="Calibri"/>
                <w:sz w:val="22"/>
                <w:szCs w:val="22"/>
                <w:lang w:val="en-US" w:eastAsia="en-GB"/>
              </w:rPr>
            </w:pPr>
            <w:r w:rsidRPr="00BC03AE">
              <w:rPr>
                <w:sz w:val="22"/>
                <w:szCs w:val="22"/>
                <w:lang w:val="en-US" w:eastAsia="en-GB"/>
              </w:rPr>
              <w:t>Vicky</w:t>
            </w:r>
          </w:p>
          <w:p w14:paraId="1A7C4494" w14:textId="01961C4A" w:rsidR="00BC03AE" w:rsidRDefault="00BC03AE" w:rsidP="00BC03AE">
            <w:pPr>
              <w:jc w:val="center"/>
              <w:rPr>
                <w:sz w:val="22"/>
                <w:szCs w:val="22"/>
                <w:lang w:val="en-US" w:eastAsia="en-GB"/>
              </w:rPr>
            </w:pPr>
            <w:r w:rsidRPr="00BC03AE">
              <w:rPr>
                <w:sz w:val="22"/>
                <w:szCs w:val="22"/>
                <w:lang w:val="en-US" w:eastAsia="en-GB"/>
              </w:rPr>
              <w:t>Willett</w:t>
            </w:r>
          </w:p>
          <w:p w14:paraId="76C7F48F" w14:textId="6FFDFC32" w:rsidR="00A42D78" w:rsidRDefault="00A42D78" w:rsidP="00BC03AE">
            <w:pPr>
              <w:jc w:val="center"/>
              <w:rPr>
                <w:sz w:val="22"/>
                <w:szCs w:val="22"/>
                <w:lang w:val="en-US" w:eastAsia="en-GB"/>
              </w:rPr>
            </w:pPr>
          </w:p>
          <w:p w14:paraId="7DC10545" w14:textId="70A78BCE" w:rsidR="00A42D78" w:rsidRPr="00BC03AE" w:rsidRDefault="00A42D78" w:rsidP="00BC03AE">
            <w:pPr>
              <w:jc w:val="center"/>
              <w:rPr>
                <w:sz w:val="22"/>
                <w:szCs w:val="22"/>
                <w:lang w:val="en-US" w:eastAsia="en-GB"/>
              </w:rPr>
            </w:pPr>
            <w:r>
              <w:rPr>
                <w:sz w:val="22"/>
                <w:szCs w:val="22"/>
                <w:lang w:val="en-US" w:eastAsia="en-GB"/>
              </w:rPr>
              <w:t>Shared Service Lead Transformation and Partnership</w:t>
            </w:r>
          </w:p>
          <w:p w14:paraId="2C5F9F6F" w14:textId="77777777" w:rsidR="00BC03AE" w:rsidRPr="00BC03AE" w:rsidRDefault="00BC03AE" w:rsidP="00BC03AE">
            <w:pPr>
              <w:jc w:val="center"/>
              <w:rPr>
                <w:sz w:val="22"/>
                <w:szCs w:val="22"/>
                <w:lang w:val="en-US" w:eastAsia="en-GB"/>
              </w:rPr>
            </w:pPr>
          </w:p>
          <w:p w14:paraId="6B742B9B" w14:textId="77777777" w:rsidR="00BC03AE" w:rsidRPr="00BC03AE" w:rsidRDefault="00BC03AE" w:rsidP="00BC03AE">
            <w:pPr>
              <w:jc w:val="center"/>
              <w:rPr>
                <w:sz w:val="22"/>
                <w:szCs w:val="22"/>
                <w:lang w:val="en-US" w:eastAsia="en-GB"/>
              </w:rPr>
            </w:pPr>
            <w:r w:rsidRPr="00BC03AE">
              <w:rPr>
                <w:sz w:val="22"/>
                <w:szCs w:val="22"/>
                <w:lang w:val="en-US" w:eastAsia="en-GB"/>
              </w:rPr>
              <w:t>Dec 2021</w:t>
            </w:r>
          </w:p>
          <w:p w14:paraId="5001D2E7" w14:textId="77777777" w:rsidR="002B20D0" w:rsidRPr="00BC03AE" w:rsidRDefault="002B20D0" w:rsidP="00AC0970">
            <w:pPr>
              <w:rPr>
                <w:sz w:val="22"/>
                <w:szCs w:val="22"/>
                <w:lang w:val="en-US" w:eastAsia="en-GB"/>
              </w:rPr>
            </w:pPr>
          </w:p>
        </w:tc>
      </w:tr>
      <w:bookmarkEnd w:id="2"/>
    </w:tbl>
    <w:p w14:paraId="02634F27" w14:textId="77777777" w:rsidR="00AC0970" w:rsidRPr="00931111" w:rsidRDefault="00AC0970" w:rsidP="009F37F1"/>
    <w:sectPr w:rsidR="00AC0970" w:rsidRPr="00931111" w:rsidSect="009F37F1">
      <w:pgSz w:w="16839" w:h="11907" w:orient="landscape" w:code="9"/>
      <w:pgMar w:top="1701" w:right="822" w:bottom="179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0A78" w14:textId="77777777" w:rsidR="009D1355" w:rsidRDefault="009D1355">
      <w:r>
        <w:separator/>
      </w:r>
    </w:p>
  </w:endnote>
  <w:endnote w:type="continuationSeparator" w:id="0">
    <w:p w14:paraId="3CA2F8C1" w14:textId="77777777" w:rsidR="009D1355" w:rsidRDefault="009D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AF98" w14:textId="77777777" w:rsidR="00F370A7" w:rsidRDefault="00F370A7" w:rsidP="00514D84">
    <w:pPr>
      <w:pStyle w:val="Footer"/>
      <w:framePr w:wrap="auto" w:vAnchor="text" w:hAnchor="margin" w:xAlign="center" w:y="1"/>
      <w:ind w:right="-4968" w:hanging="142"/>
      <w:rPr>
        <w:rStyle w:val="PageNumber"/>
      </w:rPr>
    </w:pPr>
  </w:p>
  <w:p w14:paraId="07483924" w14:textId="174B14D6" w:rsidR="00F370A7" w:rsidRPr="00514D84" w:rsidRDefault="00F370A7" w:rsidP="005F52B9">
    <w:pPr>
      <w:ind w:left="-851" w:right="329"/>
      <w:jc w:val="both"/>
      <w:rPr>
        <w:sz w:val="20"/>
      </w:rPr>
    </w:pPr>
    <w:bookmarkStart w:id="1" w:name="_Hlk67485812"/>
    <w:r w:rsidRPr="00514D84">
      <w:rPr>
        <w:sz w:val="20"/>
      </w:rPr>
      <w:t>In accordance with the Public Sector Internal Audit Standards, internal audit has been the subject of an independent external assessment, which concluded that the ‘internal audit activity conforms to the Standards’</w:t>
    </w:r>
    <w:bookmarkEnd w:id="1"/>
  </w:p>
  <w:p w14:paraId="23F90647" w14:textId="77777777" w:rsidR="00F370A7" w:rsidRPr="00514D84" w:rsidRDefault="00F370A7" w:rsidP="00514D84">
    <w:pPr>
      <w:pStyle w:val="Footer"/>
      <w:tabs>
        <w:tab w:val="clear" w:pos="4320"/>
        <w:tab w:val="right" w:pos="6804"/>
      </w:tabs>
      <w:rPr>
        <w:sz w:val="20"/>
      </w:rPr>
    </w:pPr>
    <w:r w:rsidRPr="00514D84">
      <w:rPr>
        <w:color w:val="C0C0C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23AF" w14:textId="77777777" w:rsidR="009D1355" w:rsidRDefault="009D1355">
      <w:r>
        <w:separator/>
      </w:r>
    </w:p>
  </w:footnote>
  <w:footnote w:type="continuationSeparator" w:id="0">
    <w:p w14:paraId="3784396A" w14:textId="77777777" w:rsidR="009D1355" w:rsidRDefault="009D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8EC8" w14:textId="58C9FB0C" w:rsidR="00F370A7" w:rsidRPr="00FF0CF7" w:rsidRDefault="00F370A7" w:rsidP="000E3756">
    <w:pPr>
      <w:rPr>
        <w:rFonts w:cs="Arial"/>
        <w:b/>
        <w:szCs w:val="24"/>
      </w:rPr>
    </w:pPr>
    <w:r>
      <w:rPr>
        <w:rFonts w:cs="Arial"/>
        <w:b/>
        <w:szCs w:val="24"/>
      </w:rPr>
      <w:t xml:space="preserve">                                  </w:t>
    </w:r>
  </w:p>
  <w:p w14:paraId="011C7563" w14:textId="77777777" w:rsidR="00F370A7" w:rsidRDefault="00F3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A3397E"/>
    <w:multiLevelType w:val="hybridMultilevel"/>
    <w:tmpl w:val="C08C6104"/>
    <w:lvl w:ilvl="0" w:tplc="5234002E">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A2BE8"/>
    <w:multiLevelType w:val="hybridMultilevel"/>
    <w:tmpl w:val="486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A5B65"/>
    <w:multiLevelType w:val="hybridMultilevel"/>
    <w:tmpl w:val="F7F0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60BEE"/>
    <w:multiLevelType w:val="hybridMultilevel"/>
    <w:tmpl w:val="D636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C13"/>
    <w:multiLevelType w:val="hybridMultilevel"/>
    <w:tmpl w:val="B784B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DD20F3"/>
    <w:multiLevelType w:val="hybridMultilevel"/>
    <w:tmpl w:val="B38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2091C"/>
    <w:multiLevelType w:val="hybridMultilevel"/>
    <w:tmpl w:val="53EE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E1760"/>
    <w:multiLevelType w:val="hybridMultilevel"/>
    <w:tmpl w:val="F2B0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36A58"/>
    <w:multiLevelType w:val="hybridMultilevel"/>
    <w:tmpl w:val="C89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D6203"/>
    <w:multiLevelType w:val="hybridMultilevel"/>
    <w:tmpl w:val="B22A6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B5F32"/>
    <w:multiLevelType w:val="hybridMultilevel"/>
    <w:tmpl w:val="8BDC0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0833E4"/>
    <w:multiLevelType w:val="hybridMultilevel"/>
    <w:tmpl w:val="F29AA5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382358"/>
    <w:multiLevelType w:val="hybridMultilevel"/>
    <w:tmpl w:val="3E92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A691D"/>
    <w:multiLevelType w:val="hybridMultilevel"/>
    <w:tmpl w:val="DFE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C1DC2"/>
    <w:multiLevelType w:val="hybridMultilevel"/>
    <w:tmpl w:val="94A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11881"/>
    <w:multiLevelType w:val="hybridMultilevel"/>
    <w:tmpl w:val="A28C4F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609E49FE"/>
    <w:multiLevelType w:val="hybridMultilevel"/>
    <w:tmpl w:val="98D0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A2CBD"/>
    <w:multiLevelType w:val="hybridMultilevel"/>
    <w:tmpl w:val="2750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50B18B0"/>
    <w:multiLevelType w:val="hybridMultilevel"/>
    <w:tmpl w:val="8BDCDBB2"/>
    <w:lvl w:ilvl="0" w:tplc="16448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E672FA"/>
    <w:multiLevelType w:val="hybridMultilevel"/>
    <w:tmpl w:val="5F7457C4"/>
    <w:lvl w:ilvl="0" w:tplc="5234002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01E8F"/>
    <w:multiLevelType w:val="hybridMultilevel"/>
    <w:tmpl w:val="3CEEB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7"/>
  </w:num>
  <w:num w:numId="5">
    <w:abstractNumId w:val="4"/>
  </w:num>
  <w:num w:numId="6">
    <w:abstractNumId w:val="10"/>
  </w:num>
  <w:num w:numId="7">
    <w:abstractNumId w:val="19"/>
  </w:num>
  <w:num w:numId="8">
    <w:abstractNumId w:val="21"/>
  </w:num>
  <w:num w:numId="9">
    <w:abstractNumId w:val="3"/>
  </w:num>
  <w:num w:numId="10">
    <w:abstractNumId w:val="14"/>
  </w:num>
  <w:num w:numId="11">
    <w:abstractNumId w:val="22"/>
  </w:num>
  <w:num w:numId="12">
    <w:abstractNumId w:val="2"/>
  </w:num>
  <w:num w:numId="13">
    <w:abstractNumId w:val="15"/>
  </w:num>
  <w:num w:numId="14">
    <w:abstractNumId w:val="9"/>
  </w:num>
  <w:num w:numId="15">
    <w:abstractNumId w:val="20"/>
  </w:num>
  <w:num w:numId="16">
    <w:abstractNumId w:val="12"/>
  </w:num>
  <w:num w:numId="17">
    <w:abstractNumId w:val="1"/>
  </w:num>
  <w:num w:numId="18">
    <w:abstractNumId w:val="5"/>
  </w:num>
  <w:num w:numId="19">
    <w:abstractNumId w:val="13"/>
  </w:num>
  <w:num w:numId="20">
    <w:abstractNumId w:val="6"/>
  </w:num>
  <w:num w:numId="21">
    <w:abstractNumId w:val="8"/>
  </w:num>
  <w:num w:numId="22">
    <w:abstractNumId w:val="11"/>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C4"/>
    <w:rsid w:val="00000D5B"/>
    <w:rsid w:val="00004448"/>
    <w:rsid w:val="0000750C"/>
    <w:rsid w:val="0000767A"/>
    <w:rsid w:val="000120F9"/>
    <w:rsid w:val="00012CCC"/>
    <w:rsid w:val="000150D5"/>
    <w:rsid w:val="00016E69"/>
    <w:rsid w:val="00021895"/>
    <w:rsid w:val="00022E86"/>
    <w:rsid w:val="00026919"/>
    <w:rsid w:val="00026AA5"/>
    <w:rsid w:val="00027133"/>
    <w:rsid w:val="00027FFA"/>
    <w:rsid w:val="00032CAC"/>
    <w:rsid w:val="00041BFA"/>
    <w:rsid w:val="00042CD6"/>
    <w:rsid w:val="00043702"/>
    <w:rsid w:val="00044279"/>
    <w:rsid w:val="0004667F"/>
    <w:rsid w:val="0004700C"/>
    <w:rsid w:val="00047F4E"/>
    <w:rsid w:val="00051E7B"/>
    <w:rsid w:val="0005223A"/>
    <w:rsid w:val="000525AB"/>
    <w:rsid w:val="000535C6"/>
    <w:rsid w:val="00057573"/>
    <w:rsid w:val="00057C5E"/>
    <w:rsid w:val="00060B67"/>
    <w:rsid w:val="00061ED4"/>
    <w:rsid w:val="00062178"/>
    <w:rsid w:val="00062C6B"/>
    <w:rsid w:val="00064870"/>
    <w:rsid w:val="00064FE9"/>
    <w:rsid w:val="0006503D"/>
    <w:rsid w:val="00065BBA"/>
    <w:rsid w:val="00066C44"/>
    <w:rsid w:val="00067198"/>
    <w:rsid w:val="00071CD9"/>
    <w:rsid w:val="0007290F"/>
    <w:rsid w:val="00073CE1"/>
    <w:rsid w:val="0007632B"/>
    <w:rsid w:val="00081B1D"/>
    <w:rsid w:val="0008251C"/>
    <w:rsid w:val="00082930"/>
    <w:rsid w:val="000840CD"/>
    <w:rsid w:val="00085EA4"/>
    <w:rsid w:val="00086E22"/>
    <w:rsid w:val="00087D3D"/>
    <w:rsid w:val="00090001"/>
    <w:rsid w:val="000A0558"/>
    <w:rsid w:val="000A08F4"/>
    <w:rsid w:val="000A3065"/>
    <w:rsid w:val="000A67FE"/>
    <w:rsid w:val="000A6CCC"/>
    <w:rsid w:val="000B278B"/>
    <w:rsid w:val="000B6021"/>
    <w:rsid w:val="000C33E8"/>
    <w:rsid w:val="000C3455"/>
    <w:rsid w:val="000C432D"/>
    <w:rsid w:val="000C5052"/>
    <w:rsid w:val="000C525B"/>
    <w:rsid w:val="000C67B4"/>
    <w:rsid w:val="000C7F53"/>
    <w:rsid w:val="000D1875"/>
    <w:rsid w:val="000D2AE1"/>
    <w:rsid w:val="000D5A0B"/>
    <w:rsid w:val="000D6A6C"/>
    <w:rsid w:val="000E0ACA"/>
    <w:rsid w:val="000E14CA"/>
    <w:rsid w:val="000E3756"/>
    <w:rsid w:val="000E749C"/>
    <w:rsid w:val="000F07E5"/>
    <w:rsid w:val="000F584C"/>
    <w:rsid w:val="001003E3"/>
    <w:rsid w:val="001013DC"/>
    <w:rsid w:val="001030AE"/>
    <w:rsid w:val="001038BD"/>
    <w:rsid w:val="00114A02"/>
    <w:rsid w:val="0012094F"/>
    <w:rsid w:val="00120A04"/>
    <w:rsid w:val="00120C41"/>
    <w:rsid w:val="00121AD7"/>
    <w:rsid w:val="00123656"/>
    <w:rsid w:val="00124F60"/>
    <w:rsid w:val="0012562A"/>
    <w:rsid w:val="00126D7E"/>
    <w:rsid w:val="0012758B"/>
    <w:rsid w:val="00132D7C"/>
    <w:rsid w:val="00135E5E"/>
    <w:rsid w:val="00136CF7"/>
    <w:rsid w:val="0014052E"/>
    <w:rsid w:val="00140A69"/>
    <w:rsid w:val="001433E8"/>
    <w:rsid w:val="00147287"/>
    <w:rsid w:val="00157CC9"/>
    <w:rsid w:val="00162301"/>
    <w:rsid w:val="00163193"/>
    <w:rsid w:val="0016363B"/>
    <w:rsid w:val="001657D0"/>
    <w:rsid w:val="00171370"/>
    <w:rsid w:val="0017239D"/>
    <w:rsid w:val="00175BE5"/>
    <w:rsid w:val="00176777"/>
    <w:rsid w:val="0017688E"/>
    <w:rsid w:val="001812D6"/>
    <w:rsid w:val="00182B0D"/>
    <w:rsid w:val="00183F69"/>
    <w:rsid w:val="001850A6"/>
    <w:rsid w:val="001853D1"/>
    <w:rsid w:val="00193DE9"/>
    <w:rsid w:val="00194B7F"/>
    <w:rsid w:val="00196F24"/>
    <w:rsid w:val="001A1FC1"/>
    <w:rsid w:val="001A2648"/>
    <w:rsid w:val="001A2FE3"/>
    <w:rsid w:val="001A3798"/>
    <w:rsid w:val="001A3F26"/>
    <w:rsid w:val="001A4E60"/>
    <w:rsid w:val="001A6509"/>
    <w:rsid w:val="001A7B8F"/>
    <w:rsid w:val="001B0326"/>
    <w:rsid w:val="001B38A6"/>
    <w:rsid w:val="001B3A82"/>
    <w:rsid w:val="001B43BA"/>
    <w:rsid w:val="001B6B24"/>
    <w:rsid w:val="001C12D6"/>
    <w:rsid w:val="001C3467"/>
    <w:rsid w:val="001C538A"/>
    <w:rsid w:val="001C5F1C"/>
    <w:rsid w:val="001C64E0"/>
    <w:rsid w:val="001C6AD8"/>
    <w:rsid w:val="001D0989"/>
    <w:rsid w:val="001D1326"/>
    <w:rsid w:val="001D267F"/>
    <w:rsid w:val="001D6026"/>
    <w:rsid w:val="001E407F"/>
    <w:rsid w:val="001F1B8A"/>
    <w:rsid w:val="001F20F2"/>
    <w:rsid w:val="001F5338"/>
    <w:rsid w:val="001F711D"/>
    <w:rsid w:val="001F7A08"/>
    <w:rsid w:val="001F7ED2"/>
    <w:rsid w:val="002000D5"/>
    <w:rsid w:val="00211BDC"/>
    <w:rsid w:val="00211DEE"/>
    <w:rsid w:val="002131FB"/>
    <w:rsid w:val="00213977"/>
    <w:rsid w:val="00214730"/>
    <w:rsid w:val="00216DF3"/>
    <w:rsid w:val="00221E4E"/>
    <w:rsid w:val="00223070"/>
    <w:rsid w:val="00230580"/>
    <w:rsid w:val="002329D4"/>
    <w:rsid w:val="00233B5E"/>
    <w:rsid w:val="00234CA8"/>
    <w:rsid w:val="002361E9"/>
    <w:rsid w:val="002366E7"/>
    <w:rsid w:val="002371E5"/>
    <w:rsid w:val="00240FF0"/>
    <w:rsid w:val="00242463"/>
    <w:rsid w:val="00243A2B"/>
    <w:rsid w:val="002441F0"/>
    <w:rsid w:val="00245C1F"/>
    <w:rsid w:val="00246784"/>
    <w:rsid w:val="00251129"/>
    <w:rsid w:val="00252A5D"/>
    <w:rsid w:val="002616EB"/>
    <w:rsid w:val="00261E12"/>
    <w:rsid w:val="00262874"/>
    <w:rsid w:val="00263468"/>
    <w:rsid w:val="0026385D"/>
    <w:rsid w:val="0026441B"/>
    <w:rsid w:val="002653B1"/>
    <w:rsid w:val="00265C8A"/>
    <w:rsid w:val="00266C04"/>
    <w:rsid w:val="00266F9E"/>
    <w:rsid w:val="00267CFF"/>
    <w:rsid w:val="00271328"/>
    <w:rsid w:val="00271998"/>
    <w:rsid w:val="002724B4"/>
    <w:rsid w:val="002725FC"/>
    <w:rsid w:val="00277458"/>
    <w:rsid w:val="002806B0"/>
    <w:rsid w:val="00283307"/>
    <w:rsid w:val="00284524"/>
    <w:rsid w:val="00284876"/>
    <w:rsid w:val="00291519"/>
    <w:rsid w:val="002920B3"/>
    <w:rsid w:val="002A1462"/>
    <w:rsid w:val="002A1732"/>
    <w:rsid w:val="002A22A0"/>
    <w:rsid w:val="002A547C"/>
    <w:rsid w:val="002A690F"/>
    <w:rsid w:val="002B0E69"/>
    <w:rsid w:val="002B137D"/>
    <w:rsid w:val="002B1538"/>
    <w:rsid w:val="002B20D0"/>
    <w:rsid w:val="002C3D3D"/>
    <w:rsid w:val="002C533B"/>
    <w:rsid w:val="002D3748"/>
    <w:rsid w:val="002D465A"/>
    <w:rsid w:val="002D46EA"/>
    <w:rsid w:val="002D4B34"/>
    <w:rsid w:val="002D5045"/>
    <w:rsid w:val="002D739B"/>
    <w:rsid w:val="002E0775"/>
    <w:rsid w:val="002E1409"/>
    <w:rsid w:val="002E1882"/>
    <w:rsid w:val="002E2A63"/>
    <w:rsid w:val="002E3AE7"/>
    <w:rsid w:val="002E4C5E"/>
    <w:rsid w:val="002E78D5"/>
    <w:rsid w:val="002F0595"/>
    <w:rsid w:val="002F2DD1"/>
    <w:rsid w:val="002F3663"/>
    <w:rsid w:val="002F3D24"/>
    <w:rsid w:val="002F5153"/>
    <w:rsid w:val="002F7F35"/>
    <w:rsid w:val="00300FC8"/>
    <w:rsid w:val="003052C1"/>
    <w:rsid w:val="0031252E"/>
    <w:rsid w:val="00312D8B"/>
    <w:rsid w:val="0031741C"/>
    <w:rsid w:val="00320B72"/>
    <w:rsid w:val="0032137B"/>
    <w:rsid w:val="00326533"/>
    <w:rsid w:val="0033012F"/>
    <w:rsid w:val="00332205"/>
    <w:rsid w:val="003357D8"/>
    <w:rsid w:val="00335B2B"/>
    <w:rsid w:val="00340F87"/>
    <w:rsid w:val="00341E06"/>
    <w:rsid w:val="00344054"/>
    <w:rsid w:val="0034649A"/>
    <w:rsid w:val="003476D5"/>
    <w:rsid w:val="00347E9B"/>
    <w:rsid w:val="00350604"/>
    <w:rsid w:val="00351E07"/>
    <w:rsid w:val="003523DD"/>
    <w:rsid w:val="0035242A"/>
    <w:rsid w:val="00352CFC"/>
    <w:rsid w:val="00353168"/>
    <w:rsid w:val="003561DE"/>
    <w:rsid w:val="003658A0"/>
    <w:rsid w:val="003661C7"/>
    <w:rsid w:val="00366A5B"/>
    <w:rsid w:val="00366CD4"/>
    <w:rsid w:val="00366D2D"/>
    <w:rsid w:val="00372520"/>
    <w:rsid w:val="00372EED"/>
    <w:rsid w:val="003746BB"/>
    <w:rsid w:val="00375F83"/>
    <w:rsid w:val="00376726"/>
    <w:rsid w:val="00380A85"/>
    <w:rsid w:val="0038282A"/>
    <w:rsid w:val="0038524D"/>
    <w:rsid w:val="003852F0"/>
    <w:rsid w:val="003854AF"/>
    <w:rsid w:val="003872FF"/>
    <w:rsid w:val="003918D7"/>
    <w:rsid w:val="003944FC"/>
    <w:rsid w:val="00395370"/>
    <w:rsid w:val="00395E98"/>
    <w:rsid w:val="003A1911"/>
    <w:rsid w:val="003A7D50"/>
    <w:rsid w:val="003B06C5"/>
    <w:rsid w:val="003B0B37"/>
    <w:rsid w:val="003B1894"/>
    <w:rsid w:val="003B1BC4"/>
    <w:rsid w:val="003B1CEA"/>
    <w:rsid w:val="003B2F1C"/>
    <w:rsid w:val="003B4008"/>
    <w:rsid w:val="003B5F0E"/>
    <w:rsid w:val="003B6B92"/>
    <w:rsid w:val="003B7D3C"/>
    <w:rsid w:val="003C0CB9"/>
    <w:rsid w:val="003C3ABA"/>
    <w:rsid w:val="003C46C0"/>
    <w:rsid w:val="003C67D3"/>
    <w:rsid w:val="003C6B46"/>
    <w:rsid w:val="003C6EAF"/>
    <w:rsid w:val="003D120E"/>
    <w:rsid w:val="003D4E08"/>
    <w:rsid w:val="003D5432"/>
    <w:rsid w:val="003D74A0"/>
    <w:rsid w:val="003D76C5"/>
    <w:rsid w:val="003E0D0B"/>
    <w:rsid w:val="003E0D2D"/>
    <w:rsid w:val="003E23FD"/>
    <w:rsid w:val="003E59DE"/>
    <w:rsid w:val="003E73A6"/>
    <w:rsid w:val="003F1300"/>
    <w:rsid w:val="003F2141"/>
    <w:rsid w:val="003F4AAF"/>
    <w:rsid w:val="004002A7"/>
    <w:rsid w:val="004012F2"/>
    <w:rsid w:val="00401784"/>
    <w:rsid w:val="004061E1"/>
    <w:rsid w:val="00413C65"/>
    <w:rsid w:val="0041499A"/>
    <w:rsid w:val="00415905"/>
    <w:rsid w:val="0041642A"/>
    <w:rsid w:val="00417B09"/>
    <w:rsid w:val="0042165A"/>
    <w:rsid w:val="00421AA9"/>
    <w:rsid w:val="00422656"/>
    <w:rsid w:val="00425DE0"/>
    <w:rsid w:val="00427B6B"/>
    <w:rsid w:val="00427FD8"/>
    <w:rsid w:val="00433524"/>
    <w:rsid w:val="004351D7"/>
    <w:rsid w:val="00440C8E"/>
    <w:rsid w:val="00442424"/>
    <w:rsid w:val="0044352D"/>
    <w:rsid w:val="004449C1"/>
    <w:rsid w:val="00444AC3"/>
    <w:rsid w:val="00446FAE"/>
    <w:rsid w:val="004543C3"/>
    <w:rsid w:val="004552C2"/>
    <w:rsid w:val="00456385"/>
    <w:rsid w:val="00460EC2"/>
    <w:rsid w:val="0046594B"/>
    <w:rsid w:val="004661A8"/>
    <w:rsid w:val="0047097F"/>
    <w:rsid w:val="00470B48"/>
    <w:rsid w:val="00472C2B"/>
    <w:rsid w:val="0047325F"/>
    <w:rsid w:val="00476290"/>
    <w:rsid w:val="004778AF"/>
    <w:rsid w:val="0048320E"/>
    <w:rsid w:val="004840D7"/>
    <w:rsid w:val="00486A7B"/>
    <w:rsid w:val="004879B0"/>
    <w:rsid w:val="004915D5"/>
    <w:rsid w:val="00496A11"/>
    <w:rsid w:val="004A02D3"/>
    <w:rsid w:val="004A0D38"/>
    <w:rsid w:val="004A2123"/>
    <w:rsid w:val="004A4636"/>
    <w:rsid w:val="004B6C77"/>
    <w:rsid w:val="004C1816"/>
    <w:rsid w:val="004C1DD9"/>
    <w:rsid w:val="004C21B5"/>
    <w:rsid w:val="004C2E38"/>
    <w:rsid w:val="004C5AF2"/>
    <w:rsid w:val="004C7C27"/>
    <w:rsid w:val="004D22B5"/>
    <w:rsid w:val="004D30A7"/>
    <w:rsid w:val="004D3428"/>
    <w:rsid w:val="004D5E77"/>
    <w:rsid w:val="004D6CD4"/>
    <w:rsid w:val="004D754D"/>
    <w:rsid w:val="004E0B53"/>
    <w:rsid w:val="004E0C12"/>
    <w:rsid w:val="004E2051"/>
    <w:rsid w:val="004E2AAF"/>
    <w:rsid w:val="004E39DE"/>
    <w:rsid w:val="004E5026"/>
    <w:rsid w:val="004E590F"/>
    <w:rsid w:val="004F2F56"/>
    <w:rsid w:val="004F4EFB"/>
    <w:rsid w:val="00501990"/>
    <w:rsid w:val="00503EB2"/>
    <w:rsid w:val="00505225"/>
    <w:rsid w:val="00505979"/>
    <w:rsid w:val="00510E4F"/>
    <w:rsid w:val="00512D6F"/>
    <w:rsid w:val="00514D84"/>
    <w:rsid w:val="00517C01"/>
    <w:rsid w:val="0052157B"/>
    <w:rsid w:val="00521821"/>
    <w:rsid w:val="00527E71"/>
    <w:rsid w:val="00530E10"/>
    <w:rsid w:val="005356C5"/>
    <w:rsid w:val="0053583D"/>
    <w:rsid w:val="00541BC0"/>
    <w:rsid w:val="00541E99"/>
    <w:rsid w:val="00542CD5"/>
    <w:rsid w:val="00544C6E"/>
    <w:rsid w:val="00546B79"/>
    <w:rsid w:val="005471A8"/>
    <w:rsid w:val="00547C8D"/>
    <w:rsid w:val="0055040B"/>
    <w:rsid w:val="0055107C"/>
    <w:rsid w:val="005514C3"/>
    <w:rsid w:val="00551DDD"/>
    <w:rsid w:val="005543CD"/>
    <w:rsid w:val="00554ABB"/>
    <w:rsid w:val="00555586"/>
    <w:rsid w:val="005570AF"/>
    <w:rsid w:val="005608C5"/>
    <w:rsid w:val="00560B28"/>
    <w:rsid w:val="00560CF5"/>
    <w:rsid w:val="00564959"/>
    <w:rsid w:val="00565683"/>
    <w:rsid w:val="00573D61"/>
    <w:rsid w:val="00580C43"/>
    <w:rsid w:val="00586193"/>
    <w:rsid w:val="00590C0D"/>
    <w:rsid w:val="0059255B"/>
    <w:rsid w:val="00597A53"/>
    <w:rsid w:val="005A4299"/>
    <w:rsid w:val="005A5D55"/>
    <w:rsid w:val="005B0F8C"/>
    <w:rsid w:val="005B2C48"/>
    <w:rsid w:val="005C48A4"/>
    <w:rsid w:val="005C4D9D"/>
    <w:rsid w:val="005C57FD"/>
    <w:rsid w:val="005C5D1F"/>
    <w:rsid w:val="005C7FAC"/>
    <w:rsid w:val="005D130A"/>
    <w:rsid w:val="005D42C0"/>
    <w:rsid w:val="005D58A0"/>
    <w:rsid w:val="005D6167"/>
    <w:rsid w:val="005E4A71"/>
    <w:rsid w:val="005E5873"/>
    <w:rsid w:val="005E7DE5"/>
    <w:rsid w:val="005F04C8"/>
    <w:rsid w:val="005F18F3"/>
    <w:rsid w:val="005F1A4C"/>
    <w:rsid w:val="005F31A3"/>
    <w:rsid w:val="005F4D75"/>
    <w:rsid w:val="005F52B9"/>
    <w:rsid w:val="005F6591"/>
    <w:rsid w:val="00600A13"/>
    <w:rsid w:val="00603B52"/>
    <w:rsid w:val="00603DE6"/>
    <w:rsid w:val="00604963"/>
    <w:rsid w:val="00605B3B"/>
    <w:rsid w:val="00605DE3"/>
    <w:rsid w:val="00610DAE"/>
    <w:rsid w:val="00611338"/>
    <w:rsid w:val="006113B0"/>
    <w:rsid w:val="006132F0"/>
    <w:rsid w:val="00620514"/>
    <w:rsid w:val="00621708"/>
    <w:rsid w:val="00622FFE"/>
    <w:rsid w:val="00623342"/>
    <w:rsid w:val="006255EE"/>
    <w:rsid w:val="00626B07"/>
    <w:rsid w:val="00627AE1"/>
    <w:rsid w:val="006334F6"/>
    <w:rsid w:val="00634DD6"/>
    <w:rsid w:val="006360E1"/>
    <w:rsid w:val="00640069"/>
    <w:rsid w:val="006415FF"/>
    <w:rsid w:val="00641772"/>
    <w:rsid w:val="0064287C"/>
    <w:rsid w:val="00642EE8"/>
    <w:rsid w:val="00645A12"/>
    <w:rsid w:val="00645C0C"/>
    <w:rsid w:val="006465EC"/>
    <w:rsid w:val="0065030E"/>
    <w:rsid w:val="00650ACC"/>
    <w:rsid w:val="006547AA"/>
    <w:rsid w:val="006600BB"/>
    <w:rsid w:val="006605B2"/>
    <w:rsid w:val="00662A99"/>
    <w:rsid w:val="00665386"/>
    <w:rsid w:val="00670F2C"/>
    <w:rsid w:val="006712C5"/>
    <w:rsid w:val="006751AE"/>
    <w:rsid w:val="00677F05"/>
    <w:rsid w:val="0068134D"/>
    <w:rsid w:val="0068299B"/>
    <w:rsid w:val="00684890"/>
    <w:rsid w:val="00685E1B"/>
    <w:rsid w:val="006872C4"/>
    <w:rsid w:val="0069058F"/>
    <w:rsid w:val="00690C36"/>
    <w:rsid w:val="0069344F"/>
    <w:rsid w:val="00694699"/>
    <w:rsid w:val="00696898"/>
    <w:rsid w:val="0069780B"/>
    <w:rsid w:val="00697BF0"/>
    <w:rsid w:val="006A0933"/>
    <w:rsid w:val="006A3836"/>
    <w:rsid w:val="006A3F85"/>
    <w:rsid w:val="006A6761"/>
    <w:rsid w:val="006A7FC4"/>
    <w:rsid w:val="006B1FEB"/>
    <w:rsid w:val="006B755D"/>
    <w:rsid w:val="006C13D3"/>
    <w:rsid w:val="006C18FF"/>
    <w:rsid w:val="006C1C9F"/>
    <w:rsid w:val="006C485D"/>
    <w:rsid w:val="006D1A11"/>
    <w:rsid w:val="006D29B0"/>
    <w:rsid w:val="006D53BF"/>
    <w:rsid w:val="006E1047"/>
    <w:rsid w:val="006E2051"/>
    <w:rsid w:val="006E2F11"/>
    <w:rsid w:val="006E50C3"/>
    <w:rsid w:val="006E6D44"/>
    <w:rsid w:val="006F48A7"/>
    <w:rsid w:val="006F4FF9"/>
    <w:rsid w:val="006F5EAB"/>
    <w:rsid w:val="00700162"/>
    <w:rsid w:val="00703811"/>
    <w:rsid w:val="00703EB6"/>
    <w:rsid w:val="00704BDB"/>
    <w:rsid w:val="00704C16"/>
    <w:rsid w:val="0070613B"/>
    <w:rsid w:val="00707186"/>
    <w:rsid w:val="007074D5"/>
    <w:rsid w:val="0071075A"/>
    <w:rsid w:val="00710BDE"/>
    <w:rsid w:val="00710BE6"/>
    <w:rsid w:val="00713FCB"/>
    <w:rsid w:val="007200FF"/>
    <w:rsid w:val="00720AA0"/>
    <w:rsid w:val="00721B9F"/>
    <w:rsid w:val="00722DA8"/>
    <w:rsid w:val="007241C3"/>
    <w:rsid w:val="0072456C"/>
    <w:rsid w:val="007303FB"/>
    <w:rsid w:val="007321F4"/>
    <w:rsid w:val="0073341E"/>
    <w:rsid w:val="00734230"/>
    <w:rsid w:val="007347B0"/>
    <w:rsid w:val="00737B5E"/>
    <w:rsid w:val="00740092"/>
    <w:rsid w:val="00743EF3"/>
    <w:rsid w:val="007477BE"/>
    <w:rsid w:val="00750559"/>
    <w:rsid w:val="00755803"/>
    <w:rsid w:val="00761639"/>
    <w:rsid w:val="0076200A"/>
    <w:rsid w:val="00764840"/>
    <w:rsid w:val="00764E8F"/>
    <w:rsid w:val="0076573F"/>
    <w:rsid w:val="007657E2"/>
    <w:rsid w:val="0076746C"/>
    <w:rsid w:val="00767E90"/>
    <w:rsid w:val="0077001F"/>
    <w:rsid w:val="0077169E"/>
    <w:rsid w:val="007730F0"/>
    <w:rsid w:val="00775D1F"/>
    <w:rsid w:val="00775D46"/>
    <w:rsid w:val="00776A45"/>
    <w:rsid w:val="00781D8C"/>
    <w:rsid w:val="00781F37"/>
    <w:rsid w:val="00783167"/>
    <w:rsid w:val="00785179"/>
    <w:rsid w:val="0078564F"/>
    <w:rsid w:val="00797066"/>
    <w:rsid w:val="007A0CF5"/>
    <w:rsid w:val="007A16C3"/>
    <w:rsid w:val="007A20DF"/>
    <w:rsid w:val="007A4A4D"/>
    <w:rsid w:val="007A52C1"/>
    <w:rsid w:val="007A5F0D"/>
    <w:rsid w:val="007A62CF"/>
    <w:rsid w:val="007B044F"/>
    <w:rsid w:val="007B1EC3"/>
    <w:rsid w:val="007B28FD"/>
    <w:rsid w:val="007C38C0"/>
    <w:rsid w:val="007C42CE"/>
    <w:rsid w:val="007C708E"/>
    <w:rsid w:val="007C7520"/>
    <w:rsid w:val="007D0713"/>
    <w:rsid w:val="007D0A9A"/>
    <w:rsid w:val="007D3A1B"/>
    <w:rsid w:val="007D522F"/>
    <w:rsid w:val="007D6794"/>
    <w:rsid w:val="007E1175"/>
    <w:rsid w:val="007E3D42"/>
    <w:rsid w:val="007E60C6"/>
    <w:rsid w:val="007E663F"/>
    <w:rsid w:val="007E7B8C"/>
    <w:rsid w:val="007F05F2"/>
    <w:rsid w:val="007F17DD"/>
    <w:rsid w:val="007F2489"/>
    <w:rsid w:val="007F35E6"/>
    <w:rsid w:val="0080024E"/>
    <w:rsid w:val="00802493"/>
    <w:rsid w:val="008030E0"/>
    <w:rsid w:val="00803607"/>
    <w:rsid w:val="00803B7F"/>
    <w:rsid w:val="00807A01"/>
    <w:rsid w:val="008121EE"/>
    <w:rsid w:val="00812259"/>
    <w:rsid w:val="00815A2D"/>
    <w:rsid w:val="00816707"/>
    <w:rsid w:val="00816CFF"/>
    <w:rsid w:val="00817DE1"/>
    <w:rsid w:val="00822D46"/>
    <w:rsid w:val="0082301E"/>
    <w:rsid w:val="00823D36"/>
    <w:rsid w:val="008273E7"/>
    <w:rsid w:val="00827820"/>
    <w:rsid w:val="00830FB5"/>
    <w:rsid w:val="0083132D"/>
    <w:rsid w:val="00832B0B"/>
    <w:rsid w:val="0083377D"/>
    <w:rsid w:val="00834CC5"/>
    <w:rsid w:val="00835CA3"/>
    <w:rsid w:val="00837E82"/>
    <w:rsid w:val="00841344"/>
    <w:rsid w:val="00841351"/>
    <w:rsid w:val="00845511"/>
    <w:rsid w:val="00847562"/>
    <w:rsid w:val="00853EBA"/>
    <w:rsid w:val="008547A4"/>
    <w:rsid w:val="008577EB"/>
    <w:rsid w:val="00857F11"/>
    <w:rsid w:val="0086035A"/>
    <w:rsid w:val="00860C56"/>
    <w:rsid w:val="00860ED1"/>
    <w:rsid w:val="00862653"/>
    <w:rsid w:val="008628E6"/>
    <w:rsid w:val="008631A0"/>
    <w:rsid w:val="00863697"/>
    <w:rsid w:val="008655B9"/>
    <w:rsid w:val="008709A1"/>
    <w:rsid w:val="008711FF"/>
    <w:rsid w:val="00871239"/>
    <w:rsid w:val="008721B1"/>
    <w:rsid w:val="00873707"/>
    <w:rsid w:val="00875BD2"/>
    <w:rsid w:val="00876D55"/>
    <w:rsid w:val="00877DD8"/>
    <w:rsid w:val="00891550"/>
    <w:rsid w:val="008974B1"/>
    <w:rsid w:val="00897AAC"/>
    <w:rsid w:val="008A0886"/>
    <w:rsid w:val="008A0A8A"/>
    <w:rsid w:val="008A139A"/>
    <w:rsid w:val="008A26C1"/>
    <w:rsid w:val="008A2A33"/>
    <w:rsid w:val="008A5915"/>
    <w:rsid w:val="008A61ED"/>
    <w:rsid w:val="008B17C2"/>
    <w:rsid w:val="008B2D19"/>
    <w:rsid w:val="008B5DE9"/>
    <w:rsid w:val="008B7AF6"/>
    <w:rsid w:val="008B7D9D"/>
    <w:rsid w:val="008C039C"/>
    <w:rsid w:val="008C368E"/>
    <w:rsid w:val="008C46E8"/>
    <w:rsid w:val="008C58F0"/>
    <w:rsid w:val="008C6C29"/>
    <w:rsid w:val="008D0F20"/>
    <w:rsid w:val="008D4C24"/>
    <w:rsid w:val="008D5E85"/>
    <w:rsid w:val="008D60CD"/>
    <w:rsid w:val="008D6166"/>
    <w:rsid w:val="008D6A5D"/>
    <w:rsid w:val="008E1BC7"/>
    <w:rsid w:val="008E28C7"/>
    <w:rsid w:val="008E3932"/>
    <w:rsid w:val="008E3E06"/>
    <w:rsid w:val="008E60E3"/>
    <w:rsid w:val="008E657C"/>
    <w:rsid w:val="008E6D2F"/>
    <w:rsid w:val="008F077A"/>
    <w:rsid w:val="008F4BB8"/>
    <w:rsid w:val="008F50F0"/>
    <w:rsid w:val="008F6115"/>
    <w:rsid w:val="008F713F"/>
    <w:rsid w:val="0090104B"/>
    <w:rsid w:val="009016F6"/>
    <w:rsid w:val="0090195B"/>
    <w:rsid w:val="00906FD5"/>
    <w:rsid w:val="0090717B"/>
    <w:rsid w:val="00907507"/>
    <w:rsid w:val="009119EE"/>
    <w:rsid w:val="009124FC"/>
    <w:rsid w:val="00912C11"/>
    <w:rsid w:val="0091422A"/>
    <w:rsid w:val="0091509D"/>
    <w:rsid w:val="00922F21"/>
    <w:rsid w:val="009242F6"/>
    <w:rsid w:val="00925BBF"/>
    <w:rsid w:val="00931111"/>
    <w:rsid w:val="00932F67"/>
    <w:rsid w:val="009331A9"/>
    <w:rsid w:val="00934627"/>
    <w:rsid w:val="00935FED"/>
    <w:rsid w:val="00937E3E"/>
    <w:rsid w:val="00940D23"/>
    <w:rsid w:val="00947B28"/>
    <w:rsid w:val="00952351"/>
    <w:rsid w:val="009531A8"/>
    <w:rsid w:val="009543A8"/>
    <w:rsid w:val="009549F4"/>
    <w:rsid w:val="00960A7C"/>
    <w:rsid w:val="00963168"/>
    <w:rsid w:val="00963D8A"/>
    <w:rsid w:val="0096744F"/>
    <w:rsid w:val="009678AF"/>
    <w:rsid w:val="009710AA"/>
    <w:rsid w:val="00971F39"/>
    <w:rsid w:val="0097206C"/>
    <w:rsid w:val="009724E4"/>
    <w:rsid w:val="00974ADB"/>
    <w:rsid w:val="00975174"/>
    <w:rsid w:val="00976872"/>
    <w:rsid w:val="009814FD"/>
    <w:rsid w:val="00984882"/>
    <w:rsid w:val="009859B3"/>
    <w:rsid w:val="009862C2"/>
    <w:rsid w:val="00991B8E"/>
    <w:rsid w:val="009934B5"/>
    <w:rsid w:val="00993F54"/>
    <w:rsid w:val="009A0AB7"/>
    <w:rsid w:val="009A2444"/>
    <w:rsid w:val="009A2994"/>
    <w:rsid w:val="009A3212"/>
    <w:rsid w:val="009A3474"/>
    <w:rsid w:val="009A3F4B"/>
    <w:rsid w:val="009A5DAD"/>
    <w:rsid w:val="009B184F"/>
    <w:rsid w:val="009B1BC1"/>
    <w:rsid w:val="009B332D"/>
    <w:rsid w:val="009B35ED"/>
    <w:rsid w:val="009B3642"/>
    <w:rsid w:val="009B79BA"/>
    <w:rsid w:val="009C0D56"/>
    <w:rsid w:val="009C6049"/>
    <w:rsid w:val="009C72CA"/>
    <w:rsid w:val="009D1355"/>
    <w:rsid w:val="009D158D"/>
    <w:rsid w:val="009D3376"/>
    <w:rsid w:val="009D3E84"/>
    <w:rsid w:val="009D4869"/>
    <w:rsid w:val="009D5687"/>
    <w:rsid w:val="009D5E1C"/>
    <w:rsid w:val="009E0F8D"/>
    <w:rsid w:val="009E1399"/>
    <w:rsid w:val="009E1519"/>
    <w:rsid w:val="009E380D"/>
    <w:rsid w:val="009E42BC"/>
    <w:rsid w:val="009E47A3"/>
    <w:rsid w:val="009E4F25"/>
    <w:rsid w:val="009E54F6"/>
    <w:rsid w:val="009F0504"/>
    <w:rsid w:val="009F0657"/>
    <w:rsid w:val="009F080C"/>
    <w:rsid w:val="009F1A46"/>
    <w:rsid w:val="009F36A1"/>
    <w:rsid w:val="009F37F1"/>
    <w:rsid w:val="009F4B31"/>
    <w:rsid w:val="009F554E"/>
    <w:rsid w:val="009F5C68"/>
    <w:rsid w:val="009F738E"/>
    <w:rsid w:val="00A02126"/>
    <w:rsid w:val="00A02766"/>
    <w:rsid w:val="00A0573E"/>
    <w:rsid w:val="00A06820"/>
    <w:rsid w:val="00A11FE3"/>
    <w:rsid w:val="00A12E7B"/>
    <w:rsid w:val="00A132B8"/>
    <w:rsid w:val="00A161D7"/>
    <w:rsid w:val="00A2386F"/>
    <w:rsid w:val="00A258F9"/>
    <w:rsid w:val="00A27C45"/>
    <w:rsid w:val="00A27FE0"/>
    <w:rsid w:val="00A31B7D"/>
    <w:rsid w:val="00A327C2"/>
    <w:rsid w:val="00A32A4C"/>
    <w:rsid w:val="00A3333C"/>
    <w:rsid w:val="00A33502"/>
    <w:rsid w:val="00A3573A"/>
    <w:rsid w:val="00A4287E"/>
    <w:rsid w:val="00A42D78"/>
    <w:rsid w:val="00A47D7F"/>
    <w:rsid w:val="00A516E7"/>
    <w:rsid w:val="00A55B61"/>
    <w:rsid w:val="00A55E1B"/>
    <w:rsid w:val="00A60D52"/>
    <w:rsid w:val="00A61911"/>
    <w:rsid w:val="00A61F58"/>
    <w:rsid w:val="00A63530"/>
    <w:rsid w:val="00A63B09"/>
    <w:rsid w:val="00A65CAC"/>
    <w:rsid w:val="00A6606C"/>
    <w:rsid w:val="00A70CA0"/>
    <w:rsid w:val="00A71840"/>
    <w:rsid w:val="00A769CC"/>
    <w:rsid w:val="00A82516"/>
    <w:rsid w:val="00A82885"/>
    <w:rsid w:val="00A8538A"/>
    <w:rsid w:val="00A86DC7"/>
    <w:rsid w:val="00A95149"/>
    <w:rsid w:val="00A965CC"/>
    <w:rsid w:val="00AA1451"/>
    <w:rsid w:val="00AA1A47"/>
    <w:rsid w:val="00AA5D2F"/>
    <w:rsid w:val="00AA7DED"/>
    <w:rsid w:val="00AA7E7F"/>
    <w:rsid w:val="00AB02C6"/>
    <w:rsid w:val="00AB0FBE"/>
    <w:rsid w:val="00AB246F"/>
    <w:rsid w:val="00AB3C18"/>
    <w:rsid w:val="00AB4933"/>
    <w:rsid w:val="00AC0970"/>
    <w:rsid w:val="00AC24BC"/>
    <w:rsid w:val="00AC2799"/>
    <w:rsid w:val="00AC637A"/>
    <w:rsid w:val="00AC6C0A"/>
    <w:rsid w:val="00AD0BDB"/>
    <w:rsid w:val="00AD10BC"/>
    <w:rsid w:val="00AD1AC1"/>
    <w:rsid w:val="00AD60D2"/>
    <w:rsid w:val="00AE00A6"/>
    <w:rsid w:val="00AE13AA"/>
    <w:rsid w:val="00AE42EB"/>
    <w:rsid w:val="00AE49C4"/>
    <w:rsid w:val="00AE4D63"/>
    <w:rsid w:val="00AE6D1E"/>
    <w:rsid w:val="00AF1637"/>
    <w:rsid w:val="00AF211C"/>
    <w:rsid w:val="00AF3520"/>
    <w:rsid w:val="00AF568D"/>
    <w:rsid w:val="00AF705F"/>
    <w:rsid w:val="00B00FF0"/>
    <w:rsid w:val="00B02C34"/>
    <w:rsid w:val="00B0429F"/>
    <w:rsid w:val="00B0492F"/>
    <w:rsid w:val="00B063B2"/>
    <w:rsid w:val="00B11088"/>
    <w:rsid w:val="00B1188F"/>
    <w:rsid w:val="00B1307B"/>
    <w:rsid w:val="00B1757E"/>
    <w:rsid w:val="00B17E08"/>
    <w:rsid w:val="00B25680"/>
    <w:rsid w:val="00B256B5"/>
    <w:rsid w:val="00B26710"/>
    <w:rsid w:val="00B26938"/>
    <w:rsid w:val="00B30EF5"/>
    <w:rsid w:val="00B3379C"/>
    <w:rsid w:val="00B33D32"/>
    <w:rsid w:val="00B36D3F"/>
    <w:rsid w:val="00B37134"/>
    <w:rsid w:val="00B40E40"/>
    <w:rsid w:val="00B43323"/>
    <w:rsid w:val="00B43D51"/>
    <w:rsid w:val="00B52B2D"/>
    <w:rsid w:val="00B54A4E"/>
    <w:rsid w:val="00B56C60"/>
    <w:rsid w:val="00B607DF"/>
    <w:rsid w:val="00B651E7"/>
    <w:rsid w:val="00B65A06"/>
    <w:rsid w:val="00B663E0"/>
    <w:rsid w:val="00B66419"/>
    <w:rsid w:val="00B7041D"/>
    <w:rsid w:val="00B705B4"/>
    <w:rsid w:val="00B7103F"/>
    <w:rsid w:val="00B73566"/>
    <w:rsid w:val="00B737B7"/>
    <w:rsid w:val="00B75DCB"/>
    <w:rsid w:val="00B76BB1"/>
    <w:rsid w:val="00B76E8E"/>
    <w:rsid w:val="00B804F1"/>
    <w:rsid w:val="00B83FC4"/>
    <w:rsid w:val="00B845C4"/>
    <w:rsid w:val="00B85189"/>
    <w:rsid w:val="00B901B0"/>
    <w:rsid w:val="00B95011"/>
    <w:rsid w:val="00B95739"/>
    <w:rsid w:val="00B96C30"/>
    <w:rsid w:val="00B97BE0"/>
    <w:rsid w:val="00BA0B22"/>
    <w:rsid w:val="00BA110B"/>
    <w:rsid w:val="00BA1C7E"/>
    <w:rsid w:val="00BA234F"/>
    <w:rsid w:val="00BA7F1C"/>
    <w:rsid w:val="00BB0ECF"/>
    <w:rsid w:val="00BB514B"/>
    <w:rsid w:val="00BB72C2"/>
    <w:rsid w:val="00BB74A5"/>
    <w:rsid w:val="00BC03AE"/>
    <w:rsid w:val="00BC0976"/>
    <w:rsid w:val="00BC1131"/>
    <w:rsid w:val="00BC3F76"/>
    <w:rsid w:val="00BC580D"/>
    <w:rsid w:val="00BC5B59"/>
    <w:rsid w:val="00BC7EC5"/>
    <w:rsid w:val="00BD3227"/>
    <w:rsid w:val="00BD3581"/>
    <w:rsid w:val="00BD6233"/>
    <w:rsid w:val="00BD770E"/>
    <w:rsid w:val="00BE0A4C"/>
    <w:rsid w:val="00BE1F82"/>
    <w:rsid w:val="00BE30D8"/>
    <w:rsid w:val="00BE5B33"/>
    <w:rsid w:val="00BE673D"/>
    <w:rsid w:val="00BE71BE"/>
    <w:rsid w:val="00BF1109"/>
    <w:rsid w:val="00BF216C"/>
    <w:rsid w:val="00BF2B0A"/>
    <w:rsid w:val="00BF3185"/>
    <w:rsid w:val="00BF36D2"/>
    <w:rsid w:val="00BF3C5D"/>
    <w:rsid w:val="00BF5CDA"/>
    <w:rsid w:val="00BF676A"/>
    <w:rsid w:val="00BF7AC9"/>
    <w:rsid w:val="00C00285"/>
    <w:rsid w:val="00C013D5"/>
    <w:rsid w:val="00C02A6A"/>
    <w:rsid w:val="00C0656D"/>
    <w:rsid w:val="00C20DD2"/>
    <w:rsid w:val="00C21124"/>
    <w:rsid w:val="00C25A55"/>
    <w:rsid w:val="00C25DB0"/>
    <w:rsid w:val="00C27775"/>
    <w:rsid w:val="00C27A49"/>
    <w:rsid w:val="00C314FC"/>
    <w:rsid w:val="00C31824"/>
    <w:rsid w:val="00C32819"/>
    <w:rsid w:val="00C36199"/>
    <w:rsid w:val="00C40175"/>
    <w:rsid w:val="00C46F30"/>
    <w:rsid w:val="00C51482"/>
    <w:rsid w:val="00C53DF0"/>
    <w:rsid w:val="00C5729E"/>
    <w:rsid w:val="00C5747B"/>
    <w:rsid w:val="00C61C14"/>
    <w:rsid w:val="00C625B2"/>
    <w:rsid w:val="00C629E9"/>
    <w:rsid w:val="00C6369B"/>
    <w:rsid w:val="00C643CC"/>
    <w:rsid w:val="00C66995"/>
    <w:rsid w:val="00C6771D"/>
    <w:rsid w:val="00C736B4"/>
    <w:rsid w:val="00C74124"/>
    <w:rsid w:val="00C74565"/>
    <w:rsid w:val="00C759A7"/>
    <w:rsid w:val="00C75B4C"/>
    <w:rsid w:val="00C76179"/>
    <w:rsid w:val="00C7642A"/>
    <w:rsid w:val="00C76971"/>
    <w:rsid w:val="00C80D6B"/>
    <w:rsid w:val="00C84C3F"/>
    <w:rsid w:val="00C85995"/>
    <w:rsid w:val="00C86B8A"/>
    <w:rsid w:val="00C90DE7"/>
    <w:rsid w:val="00C93000"/>
    <w:rsid w:val="00C946B0"/>
    <w:rsid w:val="00C94A79"/>
    <w:rsid w:val="00C94F80"/>
    <w:rsid w:val="00C97574"/>
    <w:rsid w:val="00C97F5F"/>
    <w:rsid w:val="00CA0333"/>
    <w:rsid w:val="00CA08F6"/>
    <w:rsid w:val="00CA68D2"/>
    <w:rsid w:val="00CA6B8C"/>
    <w:rsid w:val="00CA71E2"/>
    <w:rsid w:val="00CB2D85"/>
    <w:rsid w:val="00CB59DC"/>
    <w:rsid w:val="00CB5FA2"/>
    <w:rsid w:val="00CB71A7"/>
    <w:rsid w:val="00CC05A7"/>
    <w:rsid w:val="00CC0B93"/>
    <w:rsid w:val="00CC0C0A"/>
    <w:rsid w:val="00CC3A59"/>
    <w:rsid w:val="00CD1E69"/>
    <w:rsid w:val="00CD20AE"/>
    <w:rsid w:val="00CD2F41"/>
    <w:rsid w:val="00CD5BDC"/>
    <w:rsid w:val="00CD6214"/>
    <w:rsid w:val="00CD73F6"/>
    <w:rsid w:val="00CE10C2"/>
    <w:rsid w:val="00CE25C3"/>
    <w:rsid w:val="00CE33AA"/>
    <w:rsid w:val="00CE40A1"/>
    <w:rsid w:val="00CE646C"/>
    <w:rsid w:val="00CE68E3"/>
    <w:rsid w:val="00CF12E5"/>
    <w:rsid w:val="00CF1683"/>
    <w:rsid w:val="00CF1CD3"/>
    <w:rsid w:val="00CF4F27"/>
    <w:rsid w:val="00CF7907"/>
    <w:rsid w:val="00CF7A99"/>
    <w:rsid w:val="00D02077"/>
    <w:rsid w:val="00D078C9"/>
    <w:rsid w:val="00D12F55"/>
    <w:rsid w:val="00D13608"/>
    <w:rsid w:val="00D212CF"/>
    <w:rsid w:val="00D2163E"/>
    <w:rsid w:val="00D2504F"/>
    <w:rsid w:val="00D25B0A"/>
    <w:rsid w:val="00D32642"/>
    <w:rsid w:val="00D32DBB"/>
    <w:rsid w:val="00D32FF8"/>
    <w:rsid w:val="00D42354"/>
    <w:rsid w:val="00D4350E"/>
    <w:rsid w:val="00D44ACD"/>
    <w:rsid w:val="00D46BA8"/>
    <w:rsid w:val="00D4749C"/>
    <w:rsid w:val="00D52D69"/>
    <w:rsid w:val="00D544F4"/>
    <w:rsid w:val="00D6226F"/>
    <w:rsid w:val="00D62696"/>
    <w:rsid w:val="00D6794F"/>
    <w:rsid w:val="00D67C64"/>
    <w:rsid w:val="00D7125A"/>
    <w:rsid w:val="00D719D9"/>
    <w:rsid w:val="00D75282"/>
    <w:rsid w:val="00D76B74"/>
    <w:rsid w:val="00D80FF3"/>
    <w:rsid w:val="00D82C3B"/>
    <w:rsid w:val="00D86A2B"/>
    <w:rsid w:val="00D872F7"/>
    <w:rsid w:val="00D87DC7"/>
    <w:rsid w:val="00D95068"/>
    <w:rsid w:val="00DA0554"/>
    <w:rsid w:val="00DA6BB8"/>
    <w:rsid w:val="00DB1F70"/>
    <w:rsid w:val="00DB629C"/>
    <w:rsid w:val="00DB6868"/>
    <w:rsid w:val="00DB69DF"/>
    <w:rsid w:val="00DB777E"/>
    <w:rsid w:val="00DC66B0"/>
    <w:rsid w:val="00DC7978"/>
    <w:rsid w:val="00DD18EB"/>
    <w:rsid w:val="00DD2663"/>
    <w:rsid w:val="00DD2740"/>
    <w:rsid w:val="00DD61F7"/>
    <w:rsid w:val="00DE4007"/>
    <w:rsid w:val="00DE4077"/>
    <w:rsid w:val="00DE4B18"/>
    <w:rsid w:val="00DE50F4"/>
    <w:rsid w:val="00DE6059"/>
    <w:rsid w:val="00DF1B28"/>
    <w:rsid w:val="00DF4F82"/>
    <w:rsid w:val="00DF517C"/>
    <w:rsid w:val="00DF62D4"/>
    <w:rsid w:val="00DF6D18"/>
    <w:rsid w:val="00DF74F6"/>
    <w:rsid w:val="00DF7E10"/>
    <w:rsid w:val="00E0008A"/>
    <w:rsid w:val="00E010FB"/>
    <w:rsid w:val="00E05601"/>
    <w:rsid w:val="00E0782A"/>
    <w:rsid w:val="00E112A7"/>
    <w:rsid w:val="00E13F4B"/>
    <w:rsid w:val="00E15BDB"/>
    <w:rsid w:val="00E17C90"/>
    <w:rsid w:val="00E20AFB"/>
    <w:rsid w:val="00E21B6C"/>
    <w:rsid w:val="00E26482"/>
    <w:rsid w:val="00E32452"/>
    <w:rsid w:val="00E364C0"/>
    <w:rsid w:val="00E364F6"/>
    <w:rsid w:val="00E37C6F"/>
    <w:rsid w:val="00E415A0"/>
    <w:rsid w:val="00E41CE8"/>
    <w:rsid w:val="00E43A8D"/>
    <w:rsid w:val="00E44435"/>
    <w:rsid w:val="00E44DC7"/>
    <w:rsid w:val="00E45E75"/>
    <w:rsid w:val="00E47A6D"/>
    <w:rsid w:val="00E52199"/>
    <w:rsid w:val="00E5478D"/>
    <w:rsid w:val="00E57053"/>
    <w:rsid w:val="00E60554"/>
    <w:rsid w:val="00E613A9"/>
    <w:rsid w:val="00E62F64"/>
    <w:rsid w:val="00E66D24"/>
    <w:rsid w:val="00E66D7C"/>
    <w:rsid w:val="00E66E33"/>
    <w:rsid w:val="00E67696"/>
    <w:rsid w:val="00E677F2"/>
    <w:rsid w:val="00E7052B"/>
    <w:rsid w:val="00E71A21"/>
    <w:rsid w:val="00E75201"/>
    <w:rsid w:val="00E7621E"/>
    <w:rsid w:val="00E77396"/>
    <w:rsid w:val="00E777FA"/>
    <w:rsid w:val="00E838B5"/>
    <w:rsid w:val="00E85C56"/>
    <w:rsid w:val="00E86933"/>
    <w:rsid w:val="00E91347"/>
    <w:rsid w:val="00E92BEA"/>
    <w:rsid w:val="00E96DEE"/>
    <w:rsid w:val="00EA03DB"/>
    <w:rsid w:val="00EA5792"/>
    <w:rsid w:val="00EA7451"/>
    <w:rsid w:val="00EB42B7"/>
    <w:rsid w:val="00EC09E3"/>
    <w:rsid w:val="00EC156D"/>
    <w:rsid w:val="00EC1742"/>
    <w:rsid w:val="00EC1764"/>
    <w:rsid w:val="00EC4B88"/>
    <w:rsid w:val="00ED3E3F"/>
    <w:rsid w:val="00ED4171"/>
    <w:rsid w:val="00ED6546"/>
    <w:rsid w:val="00EE024A"/>
    <w:rsid w:val="00EE0475"/>
    <w:rsid w:val="00EE31DD"/>
    <w:rsid w:val="00EE70F6"/>
    <w:rsid w:val="00EE75DD"/>
    <w:rsid w:val="00EF0AA9"/>
    <w:rsid w:val="00EF277D"/>
    <w:rsid w:val="00EF3D02"/>
    <w:rsid w:val="00EF41CA"/>
    <w:rsid w:val="00EF456E"/>
    <w:rsid w:val="00EF5FEA"/>
    <w:rsid w:val="00F06231"/>
    <w:rsid w:val="00F06344"/>
    <w:rsid w:val="00F06D9E"/>
    <w:rsid w:val="00F11F12"/>
    <w:rsid w:val="00F11F57"/>
    <w:rsid w:val="00F131B7"/>
    <w:rsid w:val="00F14922"/>
    <w:rsid w:val="00F21CA0"/>
    <w:rsid w:val="00F26B61"/>
    <w:rsid w:val="00F30ABA"/>
    <w:rsid w:val="00F30E7A"/>
    <w:rsid w:val="00F31296"/>
    <w:rsid w:val="00F32BC0"/>
    <w:rsid w:val="00F32EF2"/>
    <w:rsid w:val="00F370A7"/>
    <w:rsid w:val="00F37194"/>
    <w:rsid w:val="00F40071"/>
    <w:rsid w:val="00F44964"/>
    <w:rsid w:val="00F502DD"/>
    <w:rsid w:val="00F505FD"/>
    <w:rsid w:val="00F508A2"/>
    <w:rsid w:val="00F50BF8"/>
    <w:rsid w:val="00F50E5B"/>
    <w:rsid w:val="00F5248F"/>
    <w:rsid w:val="00F5528D"/>
    <w:rsid w:val="00F60660"/>
    <w:rsid w:val="00F6077E"/>
    <w:rsid w:val="00F6399D"/>
    <w:rsid w:val="00F663DA"/>
    <w:rsid w:val="00F66689"/>
    <w:rsid w:val="00F67D04"/>
    <w:rsid w:val="00F700FF"/>
    <w:rsid w:val="00F746EC"/>
    <w:rsid w:val="00F74DF8"/>
    <w:rsid w:val="00F756B2"/>
    <w:rsid w:val="00F809C4"/>
    <w:rsid w:val="00F8135F"/>
    <w:rsid w:val="00F8166A"/>
    <w:rsid w:val="00F8318A"/>
    <w:rsid w:val="00F834C2"/>
    <w:rsid w:val="00F842C7"/>
    <w:rsid w:val="00F84A4F"/>
    <w:rsid w:val="00F85237"/>
    <w:rsid w:val="00F876FC"/>
    <w:rsid w:val="00F87E1E"/>
    <w:rsid w:val="00F87E61"/>
    <w:rsid w:val="00F9099D"/>
    <w:rsid w:val="00F95BD6"/>
    <w:rsid w:val="00F973CB"/>
    <w:rsid w:val="00FA02CD"/>
    <w:rsid w:val="00FA08C2"/>
    <w:rsid w:val="00FA1566"/>
    <w:rsid w:val="00FA1897"/>
    <w:rsid w:val="00FA21E5"/>
    <w:rsid w:val="00FA4CAC"/>
    <w:rsid w:val="00FA5A0F"/>
    <w:rsid w:val="00FA755E"/>
    <w:rsid w:val="00FA7B7C"/>
    <w:rsid w:val="00FB1BDD"/>
    <w:rsid w:val="00FB3E55"/>
    <w:rsid w:val="00FB4B99"/>
    <w:rsid w:val="00FB6D6B"/>
    <w:rsid w:val="00FC0884"/>
    <w:rsid w:val="00FC1303"/>
    <w:rsid w:val="00FD15BC"/>
    <w:rsid w:val="00FD3A39"/>
    <w:rsid w:val="00FD432D"/>
    <w:rsid w:val="00FD48C6"/>
    <w:rsid w:val="00FD5240"/>
    <w:rsid w:val="00FE1DDC"/>
    <w:rsid w:val="00FE2573"/>
    <w:rsid w:val="00FE6D46"/>
    <w:rsid w:val="00FF0CF7"/>
    <w:rsid w:val="00FF1050"/>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58744"/>
  <w15:docId w15:val="{41152E78-DA98-49F0-8A92-1250EA3B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nhideWhenUsed/>
    <w:qFormat/>
    <w:rsid w:val="003052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Text">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uiPriority w:val="99"/>
    <w:rsid w:val="002329D4"/>
    <w:rPr>
      <w:rFonts w:ascii="Arial" w:hAnsi="Arial"/>
      <w:sz w:val="24"/>
      <w:lang w:eastAsia="en-US"/>
    </w:rPr>
  </w:style>
  <w:style w:type="paragraph" w:customStyle="1" w:styleId="Bullet1">
    <w:name w:val="Bullet 1"/>
    <w:basedOn w:val="Normal"/>
    <w:rsid w:val="003052C1"/>
    <w:pPr>
      <w:numPr>
        <w:numId w:val="7"/>
      </w:numPr>
      <w:spacing w:after="240" w:line="312" w:lineRule="auto"/>
      <w:jc w:val="both"/>
    </w:pPr>
    <w:rPr>
      <w:rFonts w:ascii="Verdana" w:hAnsi="Verdana"/>
      <w:sz w:val="20"/>
      <w:lang w:eastAsia="en-GB"/>
    </w:rPr>
  </w:style>
  <w:style w:type="paragraph" w:customStyle="1" w:styleId="Bullet2">
    <w:name w:val="Bullet 2"/>
    <w:basedOn w:val="Normal"/>
    <w:rsid w:val="003052C1"/>
    <w:pPr>
      <w:numPr>
        <w:ilvl w:val="1"/>
        <w:numId w:val="7"/>
      </w:numPr>
      <w:spacing w:after="240" w:line="312" w:lineRule="auto"/>
      <w:jc w:val="both"/>
    </w:pPr>
    <w:rPr>
      <w:rFonts w:ascii="Verdana" w:hAnsi="Verdana"/>
      <w:sz w:val="20"/>
      <w:lang w:eastAsia="en-GB"/>
    </w:rPr>
  </w:style>
  <w:style w:type="paragraph" w:customStyle="1" w:styleId="Bullet3">
    <w:name w:val="Bullet 3"/>
    <w:basedOn w:val="Normal"/>
    <w:rsid w:val="003052C1"/>
    <w:pPr>
      <w:numPr>
        <w:ilvl w:val="2"/>
        <w:numId w:val="7"/>
      </w:numPr>
      <w:spacing w:after="240" w:line="312" w:lineRule="auto"/>
      <w:jc w:val="both"/>
    </w:pPr>
    <w:rPr>
      <w:rFonts w:ascii="Verdana" w:hAnsi="Verdana"/>
      <w:sz w:val="20"/>
      <w:lang w:eastAsia="en-GB"/>
    </w:rPr>
  </w:style>
  <w:style w:type="character" w:customStyle="1" w:styleId="Heading2Char">
    <w:name w:val="Heading 2 Char"/>
    <w:basedOn w:val="DefaultParagraphFont"/>
    <w:link w:val="Heading2"/>
    <w:rsid w:val="003052C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2820">
      <w:bodyDiv w:val="1"/>
      <w:marLeft w:val="0"/>
      <w:marRight w:val="0"/>
      <w:marTop w:val="0"/>
      <w:marBottom w:val="0"/>
      <w:divBdr>
        <w:top w:val="none" w:sz="0" w:space="0" w:color="auto"/>
        <w:left w:val="none" w:sz="0" w:space="0" w:color="auto"/>
        <w:bottom w:val="none" w:sz="0" w:space="0" w:color="auto"/>
        <w:right w:val="none" w:sz="0" w:space="0" w:color="auto"/>
      </w:divBdr>
    </w:div>
    <w:div w:id="180244430">
      <w:bodyDiv w:val="1"/>
      <w:marLeft w:val="0"/>
      <w:marRight w:val="0"/>
      <w:marTop w:val="0"/>
      <w:marBottom w:val="0"/>
      <w:divBdr>
        <w:top w:val="none" w:sz="0" w:space="0" w:color="auto"/>
        <w:left w:val="none" w:sz="0" w:space="0" w:color="auto"/>
        <w:bottom w:val="none" w:sz="0" w:space="0" w:color="auto"/>
        <w:right w:val="none" w:sz="0" w:space="0" w:color="auto"/>
      </w:divBdr>
    </w:div>
    <w:div w:id="627246118">
      <w:bodyDiv w:val="1"/>
      <w:marLeft w:val="0"/>
      <w:marRight w:val="0"/>
      <w:marTop w:val="0"/>
      <w:marBottom w:val="0"/>
      <w:divBdr>
        <w:top w:val="none" w:sz="0" w:space="0" w:color="auto"/>
        <w:left w:val="none" w:sz="0" w:space="0" w:color="auto"/>
        <w:bottom w:val="none" w:sz="0" w:space="0" w:color="auto"/>
        <w:right w:val="none" w:sz="0" w:space="0" w:color="auto"/>
      </w:divBdr>
    </w:div>
    <w:div w:id="637420021">
      <w:bodyDiv w:val="1"/>
      <w:marLeft w:val="0"/>
      <w:marRight w:val="0"/>
      <w:marTop w:val="0"/>
      <w:marBottom w:val="0"/>
      <w:divBdr>
        <w:top w:val="none" w:sz="0" w:space="0" w:color="auto"/>
        <w:left w:val="none" w:sz="0" w:space="0" w:color="auto"/>
        <w:bottom w:val="none" w:sz="0" w:space="0" w:color="auto"/>
        <w:right w:val="none" w:sz="0" w:space="0" w:color="auto"/>
      </w:divBdr>
    </w:div>
    <w:div w:id="668481040">
      <w:bodyDiv w:val="1"/>
      <w:marLeft w:val="0"/>
      <w:marRight w:val="0"/>
      <w:marTop w:val="0"/>
      <w:marBottom w:val="0"/>
      <w:divBdr>
        <w:top w:val="none" w:sz="0" w:space="0" w:color="auto"/>
        <w:left w:val="none" w:sz="0" w:space="0" w:color="auto"/>
        <w:bottom w:val="none" w:sz="0" w:space="0" w:color="auto"/>
        <w:right w:val="none" w:sz="0" w:space="0" w:color="auto"/>
      </w:divBdr>
    </w:div>
    <w:div w:id="857307006">
      <w:bodyDiv w:val="1"/>
      <w:marLeft w:val="0"/>
      <w:marRight w:val="0"/>
      <w:marTop w:val="0"/>
      <w:marBottom w:val="0"/>
      <w:divBdr>
        <w:top w:val="none" w:sz="0" w:space="0" w:color="auto"/>
        <w:left w:val="none" w:sz="0" w:space="0" w:color="auto"/>
        <w:bottom w:val="none" w:sz="0" w:space="0" w:color="auto"/>
        <w:right w:val="none" w:sz="0" w:space="0" w:color="auto"/>
      </w:divBdr>
    </w:div>
    <w:div w:id="976766567">
      <w:bodyDiv w:val="1"/>
      <w:marLeft w:val="0"/>
      <w:marRight w:val="0"/>
      <w:marTop w:val="0"/>
      <w:marBottom w:val="0"/>
      <w:divBdr>
        <w:top w:val="none" w:sz="0" w:space="0" w:color="auto"/>
        <w:left w:val="none" w:sz="0" w:space="0" w:color="auto"/>
        <w:bottom w:val="none" w:sz="0" w:space="0" w:color="auto"/>
        <w:right w:val="none" w:sz="0" w:space="0" w:color="auto"/>
      </w:divBdr>
    </w:div>
    <w:div w:id="1026324623">
      <w:bodyDiv w:val="1"/>
      <w:marLeft w:val="0"/>
      <w:marRight w:val="0"/>
      <w:marTop w:val="0"/>
      <w:marBottom w:val="0"/>
      <w:divBdr>
        <w:top w:val="none" w:sz="0" w:space="0" w:color="auto"/>
        <w:left w:val="none" w:sz="0" w:space="0" w:color="auto"/>
        <w:bottom w:val="none" w:sz="0" w:space="0" w:color="auto"/>
        <w:right w:val="none" w:sz="0" w:space="0" w:color="auto"/>
      </w:divBdr>
    </w:div>
    <w:div w:id="1280188157">
      <w:bodyDiv w:val="1"/>
      <w:marLeft w:val="0"/>
      <w:marRight w:val="0"/>
      <w:marTop w:val="0"/>
      <w:marBottom w:val="0"/>
      <w:divBdr>
        <w:top w:val="none" w:sz="0" w:space="0" w:color="auto"/>
        <w:left w:val="none" w:sz="0" w:space="0" w:color="auto"/>
        <w:bottom w:val="none" w:sz="0" w:space="0" w:color="auto"/>
        <w:right w:val="none" w:sz="0" w:space="0" w:color="auto"/>
      </w:divBdr>
    </w:div>
    <w:div w:id="1330251715">
      <w:bodyDiv w:val="1"/>
      <w:marLeft w:val="0"/>
      <w:marRight w:val="0"/>
      <w:marTop w:val="0"/>
      <w:marBottom w:val="0"/>
      <w:divBdr>
        <w:top w:val="none" w:sz="0" w:space="0" w:color="auto"/>
        <w:left w:val="none" w:sz="0" w:space="0" w:color="auto"/>
        <w:bottom w:val="none" w:sz="0" w:space="0" w:color="auto"/>
        <w:right w:val="none" w:sz="0" w:space="0" w:color="auto"/>
      </w:divBdr>
    </w:div>
    <w:div w:id="1392196254">
      <w:bodyDiv w:val="1"/>
      <w:marLeft w:val="0"/>
      <w:marRight w:val="0"/>
      <w:marTop w:val="0"/>
      <w:marBottom w:val="0"/>
      <w:divBdr>
        <w:top w:val="none" w:sz="0" w:space="0" w:color="auto"/>
        <w:left w:val="none" w:sz="0" w:space="0" w:color="auto"/>
        <w:bottom w:val="none" w:sz="0" w:space="0" w:color="auto"/>
        <w:right w:val="none" w:sz="0" w:space="0" w:color="auto"/>
      </w:divBdr>
    </w:div>
    <w:div w:id="1425999967">
      <w:bodyDiv w:val="1"/>
      <w:marLeft w:val="0"/>
      <w:marRight w:val="0"/>
      <w:marTop w:val="0"/>
      <w:marBottom w:val="0"/>
      <w:divBdr>
        <w:top w:val="none" w:sz="0" w:space="0" w:color="auto"/>
        <w:left w:val="none" w:sz="0" w:space="0" w:color="auto"/>
        <w:bottom w:val="none" w:sz="0" w:space="0" w:color="auto"/>
        <w:right w:val="none" w:sz="0" w:space="0" w:color="auto"/>
      </w:divBdr>
    </w:div>
    <w:div w:id="1490095799">
      <w:bodyDiv w:val="1"/>
      <w:marLeft w:val="0"/>
      <w:marRight w:val="0"/>
      <w:marTop w:val="0"/>
      <w:marBottom w:val="0"/>
      <w:divBdr>
        <w:top w:val="none" w:sz="0" w:space="0" w:color="auto"/>
        <w:left w:val="none" w:sz="0" w:space="0" w:color="auto"/>
        <w:bottom w:val="none" w:sz="0" w:space="0" w:color="auto"/>
        <w:right w:val="none" w:sz="0" w:space="0" w:color="auto"/>
      </w:divBdr>
    </w:div>
    <w:div w:id="1593705402">
      <w:bodyDiv w:val="1"/>
      <w:marLeft w:val="0"/>
      <w:marRight w:val="0"/>
      <w:marTop w:val="0"/>
      <w:marBottom w:val="0"/>
      <w:divBdr>
        <w:top w:val="none" w:sz="0" w:space="0" w:color="auto"/>
        <w:left w:val="none" w:sz="0" w:space="0" w:color="auto"/>
        <w:bottom w:val="none" w:sz="0" w:space="0" w:color="auto"/>
        <w:right w:val="none" w:sz="0" w:space="0" w:color="auto"/>
      </w:divBdr>
    </w:div>
    <w:div w:id="1737895579">
      <w:bodyDiv w:val="1"/>
      <w:marLeft w:val="0"/>
      <w:marRight w:val="0"/>
      <w:marTop w:val="0"/>
      <w:marBottom w:val="0"/>
      <w:divBdr>
        <w:top w:val="none" w:sz="0" w:space="0" w:color="auto"/>
        <w:left w:val="none" w:sz="0" w:space="0" w:color="auto"/>
        <w:bottom w:val="none" w:sz="0" w:space="0" w:color="auto"/>
        <w:right w:val="none" w:sz="0" w:space="0" w:color="auto"/>
      </w:divBdr>
    </w:div>
    <w:div w:id="1990596276">
      <w:bodyDiv w:val="1"/>
      <w:marLeft w:val="0"/>
      <w:marRight w:val="0"/>
      <w:marTop w:val="0"/>
      <w:marBottom w:val="0"/>
      <w:divBdr>
        <w:top w:val="none" w:sz="0" w:space="0" w:color="auto"/>
        <w:left w:val="none" w:sz="0" w:space="0" w:color="auto"/>
        <w:bottom w:val="none" w:sz="0" w:space="0" w:color="auto"/>
        <w:right w:val="none" w:sz="0" w:space="0" w:color="auto"/>
      </w:divBdr>
    </w:div>
    <w:div w:id="19941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A130-22AE-4C99-B8AC-35876C86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24766</CharactersWithSpaces>
  <SharedDoc>false</SharedDoc>
  <HLinks>
    <vt:vector size="12" baseType="variant">
      <vt:variant>
        <vt:i4>8257555</vt:i4>
      </vt:variant>
      <vt:variant>
        <vt:i4>3</vt:i4>
      </vt:variant>
      <vt:variant>
        <vt:i4>0</vt:i4>
      </vt:variant>
      <vt:variant>
        <vt:i4>5</vt:i4>
      </vt:variant>
      <vt:variant>
        <vt:lpwstr>https://intranet.intra.preston.local/Audit/_layouts/15/WopiFrame.aspx?sourcedoc=/Audit/StaffDocuments/Audit%20Actions%20-%20Priorities.docx&amp;action=default%20</vt:lpwstr>
      </vt:variant>
      <vt:variant>
        <vt:lpwstr/>
      </vt:variant>
      <vt:variant>
        <vt:i4>1572961</vt:i4>
      </vt:variant>
      <vt:variant>
        <vt:i4>0</vt:i4>
      </vt:variant>
      <vt:variant>
        <vt:i4>0</vt:i4>
      </vt:variant>
      <vt:variant>
        <vt:i4>5</vt:i4>
      </vt:variant>
      <vt:variant>
        <vt:lpwstr>https://intranet.intra.preston.local/Audit/_layouts/15/WopiFrame.aspx?sourcedoc=/Audit/StaffDocuments/Audit%20Assurances%20-%20Definitions.docx&amp;action=default.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Jacqui Murray</dc:creator>
  <cp:lastModifiedBy>Dawn Highton</cp:lastModifiedBy>
  <cp:revision>2</cp:revision>
  <cp:lastPrinted>2018-09-20T16:44:00Z</cp:lastPrinted>
  <dcterms:created xsi:type="dcterms:W3CDTF">2021-09-16T23:07:00Z</dcterms:created>
  <dcterms:modified xsi:type="dcterms:W3CDTF">2021-09-16T23:07:00Z</dcterms:modified>
</cp:coreProperties>
</file>